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D5A8B" w:rsidRPr="000D5A8B" w:rsidRDefault="000D5A8B" w:rsidP="000D5A8B">
      <w:pPr>
        <w:jc w:val="center"/>
        <w:rPr>
          <w:b/>
          <w:bCs/>
          <w:sz w:val="28"/>
        </w:rPr>
      </w:pPr>
      <w:r w:rsidRPr="000D5A8B">
        <w:rPr>
          <w:b/>
          <w:bCs/>
          <w:sz w:val="28"/>
        </w:rPr>
        <w:t>TP</w:t>
      </w:r>
      <w:r>
        <w:rPr>
          <w:b/>
          <w:bCs/>
          <w:sz w:val="28"/>
        </w:rPr>
        <w:t>1</w:t>
      </w:r>
      <w:r w:rsidRPr="000D5A8B">
        <w:rPr>
          <w:b/>
          <w:bCs/>
          <w:sz w:val="28"/>
        </w:rPr>
        <w:t xml:space="preserve"> : Immunité innée chez différentes espèces</w:t>
      </w:r>
    </w:p>
    <w:p w:rsidR="000D5A8B" w:rsidRPr="000D5A8B" w:rsidRDefault="000D5A8B" w:rsidP="000D5A8B">
      <w:pPr>
        <w:rPr>
          <w:bCs/>
        </w:rPr>
      </w:pPr>
      <w:r w:rsidRPr="000D5A8B">
        <w:rPr>
          <w:bCs/>
        </w:rPr>
        <w:t xml:space="preserve">L'immunité innée est un mécanisme de défense ancestral et universel qui permet à un organisme de se protéger rapidement contre une infection. Elle repose sur des récepteurs spécifiques capables de reconnaître des motifs moléculaires caractéristiques des agents pathogènes, appelés </w:t>
      </w:r>
      <w:proofErr w:type="spellStart"/>
      <w:r w:rsidRPr="000D5A8B">
        <w:rPr>
          <w:bCs/>
          <w:i/>
          <w:iCs/>
        </w:rPr>
        <w:t>pathogen-associated</w:t>
      </w:r>
      <w:proofErr w:type="spellEnd"/>
      <w:r w:rsidRPr="000D5A8B">
        <w:rPr>
          <w:bCs/>
          <w:i/>
          <w:iCs/>
        </w:rPr>
        <w:t xml:space="preserve"> </w:t>
      </w:r>
      <w:proofErr w:type="spellStart"/>
      <w:r w:rsidRPr="000D5A8B">
        <w:rPr>
          <w:bCs/>
          <w:i/>
          <w:iCs/>
        </w:rPr>
        <w:t>molecular</w:t>
      </w:r>
      <w:proofErr w:type="spellEnd"/>
      <w:r w:rsidRPr="000D5A8B">
        <w:rPr>
          <w:bCs/>
          <w:i/>
          <w:iCs/>
        </w:rPr>
        <w:t xml:space="preserve"> patterns</w:t>
      </w:r>
      <w:r w:rsidRPr="000D5A8B">
        <w:rPr>
          <w:bCs/>
        </w:rPr>
        <w:t xml:space="preserve"> (</w:t>
      </w:r>
      <w:proofErr w:type="spellStart"/>
      <w:r w:rsidRPr="000D5A8B">
        <w:rPr>
          <w:bCs/>
        </w:rPr>
        <w:t>PAMPs</w:t>
      </w:r>
      <w:proofErr w:type="spellEnd"/>
      <w:r w:rsidRPr="000D5A8B">
        <w:rPr>
          <w:bCs/>
        </w:rPr>
        <w:t xml:space="preserve">). Ces récepteurs, tels que les récepteurs de type </w:t>
      </w:r>
      <w:proofErr w:type="spellStart"/>
      <w:r w:rsidRPr="000D5A8B">
        <w:rPr>
          <w:bCs/>
        </w:rPr>
        <w:t>Toll</w:t>
      </w:r>
      <w:proofErr w:type="spellEnd"/>
      <w:r w:rsidRPr="000D5A8B">
        <w:rPr>
          <w:bCs/>
        </w:rPr>
        <w:t xml:space="preserve"> (TLR), jouent un rôle clé dans cette réponse en activant des cascades cellulaires pour neutraliser les intrus.</w:t>
      </w:r>
    </w:p>
    <w:p w:rsidR="000D5A8B" w:rsidRPr="000D5A8B" w:rsidRDefault="000D5A8B" w:rsidP="000D5A8B">
      <w:pPr>
        <w:rPr>
          <w:bCs/>
        </w:rPr>
      </w:pPr>
      <w:r w:rsidRPr="000D5A8B">
        <w:rPr>
          <w:bCs/>
        </w:rPr>
        <w:t xml:space="preserve">Lors de nos précédents travaux, nous avons étudié l'immunité innée chez un humain, M. LEPINE, en mettant en évidence l'interaction entre les récepteurs TLR4 et des composés issus du </w:t>
      </w:r>
      <w:proofErr w:type="spellStart"/>
      <w:r w:rsidRPr="000D5A8B">
        <w:rPr>
          <w:bCs/>
        </w:rPr>
        <w:t>non-soi</w:t>
      </w:r>
      <w:proofErr w:type="spellEnd"/>
      <w:r w:rsidRPr="000D5A8B">
        <w:rPr>
          <w:bCs/>
        </w:rPr>
        <w:t xml:space="preserve"> (comme des fragments bactériens). Cependant, l’immunité innée n’est pas exclusive aux humains. Elle est présente dans un large éventail d’espèces, des Vertébrés aux Invertébrés, bien que ses mécanismes puissent varier en complexité.</w:t>
      </w:r>
    </w:p>
    <w:p w:rsidR="000D5A8B" w:rsidRPr="000D5A8B" w:rsidRDefault="000D5A8B" w:rsidP="000D5A8B">
      <w:pPr>
        <w:rPr>
          <w:bCs/>
        </w:rPr>
      </w:pPr>
      <w:r w:rsidRPr="000D5A8B">
        <w:rPr>
          <w:bCs/>
        </w:rPr>
        <w:t xml:space="preserve">L'objectif de ce TP est de </w:t>
      </w:r>
      <w:r w:rsidRPr="000D5A8B">
        <w:rPr>
          <w:b/>
          <w:bCs/>
        </w:rPr>
        <w:t>démontrer que l’immunité innée est un mécanisme partagé entre différentes espèces, témoignant d'une évolution conservée dans le règne animal</w:t>
      </w:r>
      <w:r w:rsidRPr="000D5A8B">
        <w:rPr>
          <w:bCs/>
        </w:rPr>
        <w:t>.</w:t>
      </w:r>
    </w:p>
    <w:p w:rsidR="000D5A8B" w:rsidRPr="00C202A1" w:rsidRDefault="000D5A8B" w:rsidP="000D5A8B">
      <w:pPr>
        <w:rPr>
          <w:b/>
          <w:bCs/>
          <w:sz w:val="18"/>
          <w:u w:val="single"/>
        </w:rPr>
      </w:pPr>
      <w:r w:rsidRPr="00C202A1">
        <w:rPr>
          <w:b/>
          <w:bCs/>
          <w:sz w:val="18"/>
          <w:u w:val="single"/>
        </w:rPr>
        <w:t>Matériel et logiciels nécessaires</w:t>
      </w:r>
    </w:p>
    <w:p w:rsidR="000D5A8B" w:rsidRPr="00C202A1" w:rsidRDefault="000D5A8B" w:rsidP="000D5A8B">
      <w:pPr>
        <w:numPr>
          <w:ilvl w:val="0"/>
          <w:numId w:val="2"/>
        </w:numPr>
        <w:tabs>
          <w:tab w:val="clear" w:pos="360"/>
          <w:tab w:val="num" w:pos="720"/>
        </w:tabs>
        <w:spacing w:after="0"/>
        <w:rPr>
          <w:sz w:val="18"/>
        </w:rPr>
      </w:pPr>
      <w:r w:rsidRPr="00C202A1">
        <w:rPr>
          <w:sz w:val="18"/>
        </w:rPr>
        <w:t xml:space="preserve">Logiciel </w:t>
      </w:r>
      <w:proofErr w:type="spellStart"/>
      <w:r w:rsidRPr="00C202A1">
        <w:rPr>
          <w:b/>
          <w:bCs/>
          <w:sz w:val="18"/>
        </w:rPr>
        <w:t>LibMol</w:t>
      </w:r>
      <w:proofErr w:type="spellEnd"/>
    </w:p>
    <w:p w:rsidR="000D5A8B" w:rsidRPr="00C202A1" w:rsidRDefault="000D5A8B" w:rsidP="000D5A8B">
      <w:pPr>
        <w:numPr>
          <w:ilvl w:val="0"/>
          <w:numId w:val="2"/>
        </w:numPr>
        <w:tabs>
          <w:tab w:val="clear" w:pos="360"/>
          <w:tab w:val="num" w:pos="720"/>
        </w:tabs>
        <w:spacing w:after="0"/>
        <w:rPr>
          <w:sz w:val="18"/>
        </w:rPr>
      </w:pPr>
      <w:r w:rsidRPr="00C202A1">
        <w:rPr>
          <w:sz w:val="18"/>
        </w:rPr>
        <w:t xml:space="preserve">Logiciel </w:t>
      </w:r>
      <w:r w:rsidRPr="00C202A1">
        <w:rPr>
          <w:b/>
          <w:bCs/>
          <w:sz w:val="18"/>
        </w:rPr>
        <w:t>Geniegen2</w:t>
      </w:r>
    </w:p>
    <w:p w:rsidR="000D5A8B" w:rsidRPr="00C202A1" w:rsidRDefault="000D5A8B" w:rsidP="000D5A8B">
      <w:pPr>
        <w:numPr>
          <w:ilvl w:val="0"/>
          <w:numId w:val="2"/>
        </w:numPr>
        <w:tabs>
          <w:tab w:val="clear" w:pos="360"/>
          <w:tab w:val="num" w:pos="720"/>
        </w:tabs>
        <w:spacing w:after="0"/>
        <w:rPr>
          <w:sz w:val="18"/>
        </w:rPr>
      </w:pPr>
      <w:r w:rsidRPr="00C202A1">
        <w:rPr>
          <w:sz w:val="18"/>
        </w:rPr>
        <w:t>Fiches protocoles fournies pour chaque logiciel et manipulation</w:t>
      </w:r>
    </w:p>
    <w:p w:rsidR="000D5A8B" w:rsidRPr="00C202A1" w:rsidRDefault="000D5A8B" w:rsidP="000D5A8B">
      <w:pPr>
        <w:numPr>
          <w:ilvl w:val="0"/>
          <w:numId w:val="2"/>
        </w:numPr>
        <w:tabs>
          <w:tab w:val="clear" w:pos="360"/>
          <w:tab w:val="num" w:pos="720"/>
        </w:tabs>
        <w:spacing w:after="0"/>
        <w:rPr>
          <w:sz w:val="18"/>
        </w:rPr>
      </w:pPr>
      <w:r w:rsidRPr="00C202A1">
        <w:rPr>
          <w:sz w:val="18"/>
        </w:rPr>
        <w:t>Microscope</w:t>
      </w:r>
    </w:p>
    <w:p w:rsidR="000D5A8B" w:rsidRPr="00C202A1" w:rsidRDefault="000D5A8B" w:rsidP="000D5A8B">
      <w:pPr>
        <w:numPr>
          <w:ilvl w:val="0"/>
          <w:numId w:val="2"/>
        </w:numPr>
        <w:tabs>
          <w:tab w:val="clear" w:pos="360"/>
          <w:tab w:val="num" w:pos="720"/>
        </w:tabs>
        <w:spacing w:after="0"/>
        <w:rPr>
          <w:sz w:val="18"/>
        </w:rPr>
      </w:pPr>
      <w:r w:rsidRPr="00C202A1">
        <w:rPr>
          <w:sz w:val="18"/>
        </w:rPr>
        <w:t>Préparations biologiques (moule, levures)</w:t>
      </w:r>
    </w:p>
    <w:p w:rsidR="000D5A8B" w:rsidRPr="00C202A1" w:rsidRDefault="000D5A8B" w:rsidP="000D5A8B">
      <w:pPr>
        <w:numPr>
          <w:ilvl w:val="0"/>
          <w:numId w:val="2"/>
        </w:numPr>
        <w:tabs>
          <w:tab w:val="clear" w:pos="360"/>
          <w:tab w:val="num" w:pos="720"/>
        </w:tabs>
        <w:spacing w:after="0"/>
        <w:rPr>
          <w:sz w:val="18"/>
        </w:rPr>
      </w:pPr>
      <w:r w:rsidRPr="00C202A1">
        <w:rPr>
          <w:sz w:val="18"/>
        </w:rPr>
        <w:t>Matériel de laboratoire pour manipulation (lames, lamelles, pipettes, colorants éventuels)</w:t>
      </w:r>
    </w:p>
    <w:p w:rsidR="000D5A8B" w:rsidRPr="00C202A1" w:rsidRDefault="000D5A8B" w:rsidP="00C202A1">
      <w:pPr>
        <w:jc w:val="center"/>
      </w:pPr>
      <w:r w:rsidRPr="000D5A8B">
        <w:pict>
          <v:rect id="_x0000_i1076" style="width:0;height:1.5pt" o:hralign="center" o:hrstd="t" o:hr="t" fillcolor="#a0a0a0" stroked="f"/>
        </w:pict>
      </w:r>
      <w:r w:rsidRPr="000D5A8B">
        <w:rPr>
          <w:b/>
          <w:bCs/>
        </w:rPr>
        <w:t xml:space="preserve">Étude des interactions moléculaires avec </w:t>
      </w:r>
      <w:proofErr w:type="spellStart"/>
      <w:r w:rsidRPr="000D5A8B">
        <w:rPr>
          <w:b/>
          <w:bCs/>
        </w:rPr>
        <w:t>LibMol</w:t>
      </w:r>
      <w:proofErr w:type="spellEnd"/>
    </w:p>
    <w:p w:rsidR="000D5A8B" w:rsidRPr="000D5A8B" w:rsidRDefault="000D5A8B" w:rsidP="000D5A8B">
      <w:pPr>
        <w:spacing w:after="0"/>
      </w:pPr>
      <w:r w:rsidRPr="000D5A8B">
        <w:rPr>
          <w:b/>
          <w:bCs/>
        </w:rPr>
        <w:t>Objectif :</w:t>
      </w:r>
      <w:r w:rsidRPr="000D5A8B">
        <w:t xml:space="preserve"> </w:t>
      </w:r>
      <w:r w:rsidRPr="000D5A8B">
        <w:t xml:space="preserve">Mettre en évidence les interactions entre des récepteurs de l'immunité innée et des composés du </w:t>
      </w:r>
      <w:proofErr w:type="spellStart"/>
      <w:r w:rsidRPr="000D5A8B">
        <w:t>non-soi</w:t>
      </w:r>
      <w:proofErr w:type="spellEnd"/>
      <w:r w:rsidRPr="000D5A8B">
        <w:t>.</w:t>
      </w:r>
      <w:r>
        <w:t xml:space="preserve"> </w:t>
      </w:r>
      <w:r w:rsidRPr="000D5A8B">
        <w:rPr>
          <w:b/>
          <w:bCs/>
        </w:rPr>
        <w:t>Procédure :</w:t>
      </w:r>
    </w:p>
    <w:p w:rsidR="000D5A8B" w:rsidRPr="000D5A8B" w:rsidRDefault="000D5A8B" w:rsidP="000D5A8B">
      <w:pPr>
        <w:pStyle w:val="Paragraphedeliste"/>
        <w:numPr>
          <w:ilvl w:val="1"/>
          <w:numId w:val="9"/>
        </w:numPr>
        <w:rPr>
          <w:bCs/>
        </w:rPr>
      </w:pPr>
      <w:r w:rsidRPr="000D5A8B">
        <w:t xml:space="preserve">Ouvrir le logiciel </w:t>
      </w:r>
      <w:r w:rsidRPr="000D5A8B">
        <w:rPr>
          <w:b/>
          <w:bCs/>
        </w:rPr>
        <w:t>LIBMOL</w:t>
      </w:r>
    </w:p>
    <w:p w:rsidR="000D5A8B" w:rsidRPr="000D5A8B" w:rsidRDefault="000D5A8B" w:rsidP="000D5A8B">
      <w:pPr>
        <w:pStyle w:val="Paragraphedeliste"/>
        <w:numPr>
          <w:ilvl w:val="1"/>
          <w:numId w:val="9"/>
        </w:numPr>
      </w:pPr>
      <w:r w:rsidRPr="000D5A8B">
        <w:t>Rechercher dans la banque de données « TLR4 » et charger le fichier.</w:t>
      </w:r>
    </w:p>
    <w:p w:rsidR="000D5A8B" w:rsidRPr="000D5A8B" w:rsidRDefault="000D5A8B" w:rsidP="000D5A8B">
      <w:pPr>
        <w:pStyle w:val="Paragraphedeliste"/>
        <w:numPr>
          <w:ilvl w:val="1"/>
          <w:numId w:val="9"/>
        </w:numPr>
      </w:pPr>
      <w:r w:rsidRPr="000D5A8B">
        <w:t>Afficher les parties protéiques sous forme de rubans, colorés par chaînes.</w:t>
      </w:r>
    </w:p>
    <w:p w:rsidR="000D5A8B" w:rsidRPr="000D5A8B" w:rsidRDefault="000D5A8B" w:rsidP="000D5A8B">
      <w:pPr>
        <w:pStyle w:val="Paragraphedeliste"/>
        <w:numPr>
          <w:ilvl w:val="1"/>
          <w:numId w:val="9"/>
        </w:numPr>
      </w:pPr>
      <w:r w:rsidRPr="000D5A8B">
        <w:t>Afficher le LPS (« Autre ») sous forme de sphères, coloré en vert</w:t>
      </w:r>
    </w:p>
    <w:p w:rsidR="000D5A8B" w:rsidRPr="00C202A1" w:rsidRDefault="000D5A8B" w:rsidP="00C202A1">
      <w:pPr>
        <w:jc w:val="center"/>
      </w:pPr>
      <w:r w:rsidRPr="000D5A8B">
        <w:pict>
          <v:rect id="_x0000_i1077" style="width:0;height:1.5pt" o:hralign="center" o:hrstd="t" o:hr="t" fillcolor="#a0a0a0" stroked="f"/>
        </w:pict>
      </w:r>
      <w:r w:rsidRPr="000D5A8B">
        <w:rPr>
          <w:b/>
          <w:bCs/>
        </w:rPr>
        <w:t>Comparaison des séquences ADN avec Geniegen2</w:t>
      </w:r>
    </w:p>
    <w:p w:rsidR="000D5A8B" w:rsidRPr="000D5A8B" w:rsidRDefault="000D5A8B" w:rsidP="000D5A8B">
      <w:pPr>
        <w:spacing w:after="0"/>
      </w:pPr>
      <w:r w:rsidRPr="000D5A8B">
        <w:rPr>
          <w:b/>
          <w:bCs/>
        </w:rPr>
        <w:t>Objectif :</w:t>
      </w:r>
      <w:r w:rsidRPr="000D5A8B">
        <w:t xml:space="preserve"> </w:t>
      </w:r>
      <w:r w:rsidRPr="000D5A8B">
        <w:t>Comparer les séquences génétiques des récepteurs TLR4 chez différents Vertébrés pour démontrer leur conservation.</w:t>
      </w:r>
    </w:p>
    <w:p w:rsidR="000D5A8B" w:rsidRPr="000D5A8B" w:rsidRDefault="000D5A8B" w:rsidP="000D5A8B">
      <w:r w:rsidRPr="000D5A8B">
        <w:rPr>
          <w:b/>
          <w:bCs/>
        </w:rPr>
        <w:t>Procédure :</w:t>
      </w:r>
    </w:p>
    <w:p w:rsidR="000D5A8B" w:rsidRPr="000D5A8B" w:rsidRDefault="000D5A8B" w:rsidP="000D5A8B">
      <w:pPr>
        <w:pStyle w:val="Paragraphedeliste"/>
        <w:numPr>
          <w:ilvl w:val="0"/>
          <w:numId w:val="11"/>
        </w:numPr>
      </w:pPr>
      <w:r w:rsidRPr="000D5A8B">
        <w:t xml:space="preserve">Ouvrir le logiciel </w:t>
      </w:r>
      <w:r w:rsidRPr="000D5A8B">
        <w:rPr>
          <w:b/>
          <w:bCs/>
        </w:rPr>
        <w:t>Geniegen2</w:t>
      </w:r>
      <w:r w:rsidRPr="000D5A8B">
        <w:t>.</w:t>
      </w:r>
    </w:p>
    <w:p w:rsidR="000D5A8B" w:rsidRDefault="000D5A8B" w:rsidP="000D5A8B">
      <w:pPr>
        <w:pStyle w:val="Paragraphedeliste"/>
        <w:numPr>
          <w:ilvl w:val="0"/>
          <w:numId w:val="11"/>
        </w:numPr>
      </w:pPr>
      <w:r>
        <w:t xml:space="preserve">Ouvrir la banque de séquences, rechercher TLR4, </w:t>
      </w:r>
    </w:p>
    <w:p w:rsidR="000D5A8B" w:rsidRDefault="000D5A8B" w:rsidP="000D5A8B">
      <w:pPr>
        <w:pStyle w:val="Paragraphedeliste"/>
        <w:numPr>
          <w:ilvl w:val="0"/>
          <w:numId w:val="11"/>
        </w:numPr>
      </w:pPr>
      <w:proofErr w:type="gramStart"/>
      <w:r>
        <w:t>aligner</w:t>
      </w:r>
      <w:proofErr w:type="gramEnd"/>
      <w:r>
        <w:t xml:space="preserve"> les séquences (</w:t>
      </w:r>
      <w:proofErr w:type="spellStart"/>
      <w:r>
        <w:t>AltGr+A</w:t>
      </w:r>
      <w:proofErr w:type="spellEnd"/>
      <w:r>
        <w:t>)</w:t>
      </w:r>
    </w:p>
    <w:p w:rsidR="000D5A8B" w:rsidRDefault="000D5A8B" w:rsidP="000D5A8B">
      <w:pPr>
        <w:pStyle w:val="Paragraphedeliste"/>
        <w:numPr>
          <w:ilvl w:val="0"/>
          <w:numId w:val="11"/>
        </w:numPr>
      </w:pPr>
      <w:proofErr w:type="gramStart"/>
      <w:r>
        <w:t>afficher</w:t>
      </w:r>
      <w:proofErr w:type="gramEnd"/>
      <w:r>
        <w:t xml:space="preserve"> la matrice (en pourcentage de différences) et l’arbre phylogénétique (</w:t>
      </w:r>
      <w:proofErr w:type="spellStart"/>
      <w:r>
        <w:t>phénogramme</w:t>
      </w:r>
      <w:proofErr w:type="spellEnd"/>
      <w:r>
        <w:t>).</w:t>
      </w:r>
    </w:p>
    <w:p w:rsidR="000D5A8B" w:rsidRPr="00C202A1" w:rsidRDefault="000D5A8B" w:rsidP="00C202A1">
      <w:pPr>
        <w:jc w:val="center"/>
      </w:pPr>
      <w:r w:rsidRPr="000D5A8B">
        <w:pict>
          <v:rect id="_x0000_i1078" style="width:0;height:1.5pt" o:hralign="center" o:hrstd="t" o:hr="t" fillcolor="#a0a0a0" stroked="f"/>
        </w:pict>
      </w:r>
      <w:r w:rsidRPr="000D5A8B">
        <w:rPr>
          <w:b/>
          <w:bCs/>
        </w:rPr>
        <w:t>Observation des cœlomocytes en réponse à des levures</w:t>
      </w:r>
    </w:p>
    <w:p w:rsidR="00C202A1" w:rsidRDefault="000D5A8B" w:rsidP="00C202A1">
      <w:pPr>
        <w:spacing w:after="0"/>
      </w:pPr>
      <w:r w:rsidRPr="00C202A1">
        <w:rPr>
          <w:b/>
          <w:bCs/>
        </w:rPr>
        <w:t>Objectif :</w:t>
      </w:r>
      <w:r w:rsidRPr="000D5A8B">
        <w:t xml:space="preserve"> </w:t>
      </w:r>
      <w:r w:rsidR="00C202A1" w:rsidRPr="000D5A8B">
        <w:t>Observer la réponse immunitaire innée chez des espèces n</w:t>
      </w:r>
      <w:r w:rsidR="00C202A1">
        <w:t>on-vertébrées comme les moules.</w:t>
      </w:r>
    </w:p>
    <w:p w:rsidR="000D5A8B" w:rsidRPr="000D5A8B" w:rsidRDefault="000D5A8B" w:rsidP="00C202A1">
      <w:pPr>
        <w:spacing w:after="0"/>
      </w:pPr>
      <w:r w:rsidRPr="00C202A1">
        <w:rPr>
          <w:b/>
          <w:bCs/>
        </w:rPr>
        <w:t>Procédure :</w:t>
      </w:r>
    </w:p>
    <w:p w:rsidR="000D5A8B" w:rsidRPr="000D5A8B" w:rsidRDefault="000D5A8B" w:rsidP="002919A6">
      <w:pPr>
        <w:pStyle w:val="Paragraphedeliste"/>
        <w:numPr>
          <w:ilvl w:val="0"/>
          <w:numId w:val="12"/>
        </w:numPr>
      </w:pPr>
      <w:r w:rsidRPr="000D5A8B">
        <w:t>Prélever des cœlomocytes de moule selon la fiche protocole.</w:t>
      </w:r>
    </w:p>
    <w:p w:rsidR="000D5A8B" w:rsidRPr="000D5A8B" w:rsidRDefault="000D5A8B" w:rsidP="00C202A1">
      <w:pPr>
        <w:pStyle w:val="Paragraphedeliste"/>
        <w:numPr>
          <w:ilvl w:val="0"/>
          <w:numId w:val="12"/>
        </w:numPr>
      </w:pPr>
      <w:r w:rsidRPr="000D5A8B">
        <w:t>Préparer une lame avec les cœlomocytes et ajouter une suspension de levures.</w:t>
      </w:r>
    </w:p>
    <w:p w:rsidR="00C202A1" w:rsidRDefault="000D5A8B" w:rsidP="005C4EA9">
      <w:pPr>
        <w:pStyle w:val="Paragraphedeliste"/>
        <w:numPr>
          <w:ilvl w:val="0"/>
          <w:numId w:val="12"/>
        </w:numPr>
      </w:pPr>
      <w:r w:rsidRPr="000D5A8B">
        <w:t>Observer au microscope les comportements des cœlomocytes en présence des levure</w:t>
      </w:r>
      <w:r w:rsidR="00C202A1">
        <w:t>s</w:t>
      </w:r>
    </w:p>
    <w:p w:rsidR="00C202A1" w:rsidRPr="000D5A8B" w:rsidRDefault="00C202A1" w:rsidP="00C202A1">
      <w:r w:rsidRPr="000D5A8B">
        <w:pict>
          <v:rect id="_x0000_i1097" style="width:0;height:1.5pt" o:hralign="center" o:hrstd="t" o:hr="t" fillcolor="#a0a0a0" stroked="f"/>
        </w:pict>
      </w:r>
    </w:p>
    <w:p w:rsidR="00DC3A1E" w:rsidRPr="00C202A1" w:rsidRDefault="00C202A1" w:rsidP="00C202A1">
      <w:pPr>
        <w:jc w:val="center"/>
        <w:rPr>
          <w:b/>
          <w:bCs/>
          <w:i/>
        </w:rPr>
      </w:pPr>
      <w:r w:rsidRPr="00C202A1">
        <w:rPr>
          <w:b/>
          <w:i/>
        </w:rPr>
        <w:t>Récapitulez vos résultats sous la forme la plus appropriée</w:t>
      </w:r>
      <w:r w:rsidRPr="00C202A1">
        <w:rPr>
          <w:b/>
          <w:i/>
        </w:rPr>
        <w:t xml:space="preserve"> puis </w:t>
      </w:r>
      <w:r w:rsidRPr="00C202A1">
        <w:rPr>
          <w:b/>
          <w:bCs/>
          <w:i/>
        </w:rPr>
        <w:t>répondre au problème posé</w:t>
      </w:r>
      <w:bookmarkStart w:id="0" w:name="_GoBack"/>
      <w:bookmarkEnd w:id="0"/>
    </w:p>
    <w:sectPr w:rsidR="00DC3A1E" w:rsidRPr="00C202A1" w:rsidSect="000D5A8B">
      <w:headerReference w:type="default" r:id="rId7"/>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05DDA" w:rsidRDefault="00A05DDA" w:rsidP="000D5A8B">
      <w:pPr>
        <w:spacing w:after="0" w:line="240" w:lineRule="auto"/>
      </w:pPr>
      <w:r>
        <w:separator/>
      </w:r>
    </w:p>
  </w:endnote>
  <w:endnote w:type="continuationSeparator" w:id="0">
    <w:p w:rsidR="00A05DDA" w:rsidRDefault="00A05DDA" w:rsidP="000D5A8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05DDA" w:rsidRDefault="00A05DDA" w:rsidP="000D5A8B">
      <w:pPr>
        <w:spacing w:after="0" w:line="240" w:lineRule="auto"/>
      </w:pPr>
      <w:r>
        <w:separator/>
      </w:r>
    </w:p>
  </w:footnote>
  <w:footnote w:type="continuationSeparator" w:id="0">
    <w:p w:rsidR="00A05DDA" w:rsidRDefault="00A05DDA" w:rsidP="000D5A8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D5A8B" w:rsidRDefault="000D5A8B">
    <w:pPr>
      <w:pStyle w:val="En-tte"/>
    </w:pPr>
    <w:r>
      <w:t>1spé – Santé Chapitre 1 : L’immunité Innée</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9A3666"/>
    <w:multiLevelType w:val="multilevel"/>
    <w:tmpl w:val="62282376"/>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F17435C"/>
    <w:multiLevelType w:val="multilevel"/>
    <w:tmpl w:val="B420C7F4"/>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2" w15:restartNumberingAfterBreak="0">
    <w:nsid w:val="2F910C81"/>
    <w:multiLevelType w:val="multilevel"/>
    <w:tmpl w:val="DE4A5D5C"/>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3" w15:restartNumberingAfterBreak="0">
    <w:nsid w:val="39D973E0"/>
    <w:multiLevelType w:val="hybridMultilevel"/>
    <w:tmpl w:val="E932B16E"/>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15:restartNumberingAfterBreak="0">
    <w:nsid w:val="3FDB7AA6"/>
    <w:multiLevelType w:val="multilevel"/>
    <w:tmpl w:val="CD6C3F2A"/>
    <w:lvl w:ilvl="0">
      <w:start w:val="1"/>
      <w:numFmt w:val="bullet"/>
      <w:lvlText w:val=""/>
      <w:lvlJc w:val="left"/>
      <w:pPr>
        <w:tabs>
          <w:tab w:val="num" w:pos="360"/>
        </w:tabs>
        <w:ind w:left="360" w:hanging="360"/>
      </w:pPr>
      <w:rPr>
        <w:rFonts w:ascii="Wingdings" w:hAnsi="Wingdings" w:hint="default"/>
      </w:rPr>
    </w:lvl>
    <w:lvl w:ilvl="1">
      <w:start w:val="1"/>
      <w:numFmt w:val="decimal"/>
      <w:lvlText w:val="%2."/>
      <w:lvlJc w:val="left"/>
      <w:pPr>
        <w:tabs>
          <w:tab w:val="num" w:pos="1080"/>
        </w:tabs>
        <w:ind w:left="1080" w:hanging="360"/>
      </w:pPr>
      <w:rPr>
        <w:rFonts w:asciiTheme="minorHAnsi" w:eastAsiaTheme="minorHAnsi" w:hAnsiTheme="minorHAnsi" w:cstheme="minorBidi"/>
      </w:r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5" w15:restartNumberingAfterBreak="0">
    <w:nsid w:val="5BD3028C"/>
    <w:multiLevelType w:val="multilevel"/>
    <w:tmpl w:val="B784F8DE"/>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CEE53C5"/>
    <w:multiLevelType w:val="multilevel"/>
    <w:tmpl w:val="D090DA16"/>
    <w:lvl w:ilvl="0">
      <w:start w:val="1"/>
      <w:numFmt w:val="bullet"/>
      <w:lvlText w:val=""/>
      <w:lvlJc w:val="left"/>
      <w:pPr>
        <w:tabs>
          <w:tab w:val="num" w:pos="360"/>
        </w:tabs>
        <w:ind w:left="360" w:hanging="360"/>
      </w:pPr>
      <w:rPr>
        <w:rFonts w:ascii="Wingdings" w:hAnsi="Wingdings" w:hint="default"/>
      </w:r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7" w15:restartNumberingAfterBreak="0">
    <w:nsid w:val="67410389"/>
    <w:multiLevelType w:val="multilevel"/>
    <w:tmpl w:val="AA980C34"/>
    <w:lvl w:ilvl="0">
      <w:start w:val="1"/>
      <w:numFmt w:val="bullet"/>
      <w:lvlText w:val=""/>
      <w:lvlJc w:val="left"/>
      <w:pPr>
        <w:tabs>
          <w:tab w:val="num" w:pos="360"/>
        </w:tabs>
        <w:ind w:left="360" w:hanging="360"/>
      </w:pPr>
      <w:rPr>
        <w:rFonts w:ascii="Symbol" w:hAnsi="Symbol" w:hint="default"/>
      </w:r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8" w15:restartNumberingAfterBreak="0">
    <w:nsid w:val="70AB15E0"/>
    <w:multiLevelType w:val="multilevel"/>
    <w:tmpl w:val="CD6C3F2A"/>
    <w:lvl w:ilvl="0">
      <w:start w:val="1"/>
      <w:numFmt w:val="bullet"/>
      <w:lvlText w:val=""/>
      <w:lvlJc w:val="left"/>
      <w:pPr>
        <w:tabs>
          <w:tab w:val="num" w:pos="360"/>
        </w:tabs>
        <w:ind w:left="360" w:hanging="360"/>
      </w:pPr>
      <w:rPr>
        <w:rFonts w:ascii="Wingdings" w:hAnsi="Wingdings" w:hint="default"/>
        <w:sz w:val="20"/>
      </w:rPr>
    </w:lvl>
    <w:lvl w:ilvl="1">
      <w:start w:val="1"/>
      <w:numFmt w:val="decimal"/>
      <w:lvlText w:val="%2."/>
      <w:lvlJc w:val="left"/>
      <w:pPr>
        <w:tabs>
          <w:tab w:val="num" w:pos="1080"/>
        </w:tabs>
        <w:ind w:left="1080" w:hanging="360"/>
      </w:pPr>
      <w:rPr>
        <w:rFonts w:asciiTheme="minorHAnsi" w:eastAsiaTheme="minorHAnsi" w:hAnsiTheme="minorHAnsi" w:cstheme="minorBidi"/>
      </w:rPr>
    </w:lvl>
    <w:lvl w:ilvl="2" w:tentative="1">
      <w:start w:val="1"/>
      <w:numFmt w:val="decimal"/>
      <w:lvlText w:val="%3."/>
      <w:lvlJc w:val="left"/>
      <w:pPr>
        <w:tabs>
          <w:tab w:val="num" w:pos="1800"/>
        </w:tabs>
        <w:ind w:left="1800" w:hanging="360"/>
      </w:pPr>
      <w:rPr>
        <w:rFonts w:hint="default"/>
        <w:sz w:val="20"/>
      </w:rPr>
    </w:lvl>
    <w:lvl w:ilvl="3" w:tentative="1">
      <w:start w:val="1"/>
      <w:numFmt w:val="decimal"/>
      <w:lvlText w:val="%4."/>
      <w:lvlJc w:val="left"/>
      <w:pPr>
        <w:tabs>
          <w:tab w:val="num" w:pos="2520"/>
        </w:tabs>
        <w:ind w:left="2520" w:hanging="360"/>
      </w:pPr>
      <w:rPr>
        <w:rFonts w:hint="default"/>
        <w:sz w:val="20"/>
      </w:rPr>
    </w:lvl>
    <w:lvl w:ilvl="4" w:tentative="1">
      <w:start w:val="1"/>
      <w:numFmt w:val="decimal"/>
      <w:lvlText w:val="%5."/>
      <w:lvlJc w:val="left"/>
      <w:pPr>
        <w:tabs>
          <w:tab w:val="num" w:pos="3240"/>
        </w:tabs>
        <w:ind w:left="3240" w:hanging="360"/>
      </w:pPr>
      <w:rPr>
        <w:rFonts w:hint="default"/>
        <w:sz w:val="20"/>
      </w:rPr>
    </w:lvl>
    <w:lvl w:ilvl="5" w:tentative="1">
      <w:start w:val="1"/>
      <w:numFmt w:val="decimal"/>
      <w:lvlText w:val="%6."/>
      <w:lvlJc w:val="left"/>
      <w:pPr>
        <w:tabs>
          <w:tab w:val="num" w:pos="3960"/>
        </w:tabs>
        <w:ind w:left="3960" w:hanging="360"/>
      </w:pPr>
      <w:rPr>
        <w:rFonts w:hint="default"/>
        <w:sz w:val="20"/>
      </w:rPr>
    </w:lvl>
    <w:lvl w:ilvl="6" w:tentative="1">
      <w:start w:val="1"/>
      <w:numFmt w:val="decimal"/>
      <w:lvlText w:val="%7."/>
      <w:lvlJc w:val="left"/>
      <w:pPr>
        <w:tabs>
          <w:tab w:val="num" w:pos="4680"/>
        </w:tabs>
        <w:ind w:left="4680" w:hanging="360"/>
      </w:pPr>
      <w:rPr>
        <w:rFonts w:hint="default"/>
        <w:sz w:val="20"/>
      </w:rPr>
    </w:lvl>
    <w:lvl w:ilvl="7" w:tentative="1">
      <w:start w:val="1"/>
      <w:numFmt w:val="decimal"/>
      <w:lvlText w:val="%8."/>
      <w:lvlJc w:val="left"/>
      <w:pPr>
        <w:tabs>
          <w:tab w:val="num" w:pos="5400"/>
        </w:tabs>
        <w:ind w:left="5400" w:hanging="360"/>
      </w:pPr>
      <w:rPr>
        <w:rFonts w:hint="default"/>
        <w:sz w:val="20"/>
      </w:rPr>
    </w:lvl>
    <w:lvl w:ilvl="8" w:tentative="1">
      <w:start w:val="1"/>
      <w:numFmt w:val="decimal"/>
      <w:lvlText w:val="%9."/>
      <w:lvlJc w:val="left"/>
      <w:pPr>
        <w:tabs>
          <w:tab w:val="num" w:pos="6120"/>
        </w:tabs>
        <w:ind w:left="6120" w:hanging="360"/>
      </w:pPr>
      <w:rPr>
        <w:rFonts w:hint="default"/>
        <w:sz w:val="20"/>
      </w:rPr>
    </w:lvl>
  </w:abstractNum>
  <w:abstractNum w:abstractNumId="9" w15:restartNumberingAfterBreak="0">
    <w:nsid w:val="71691D77"/>
    <w:multiLevelType w:val="multilevel"/>
    <w:tmpl w:val="3A5AF906"/>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774A13B9"/>
    <w:multiLevelType w:val="hybridMultilevel"/>
    <w:tmpl w:val="CED66A02"/>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793C51D9"/>
    <w:multiLevelType w:val="multilevel"/>
    <w:tmpl w:val="607E4FC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2"/>
  </w:num>
  <w:num w:numId="3">
    <w:abstractNumId w:val="0"/>
  </w:num>
  <w:num w:numId="4">
    <w:abstractNumId w:val="5"/>
  </w:num>
  <w:num w:numId="5">
    <w:abstractNumId w:val="9"/>
  </w:num>
  <w:num w:numId="6">
    <w:abstractNumId w:val="11"/>
  </w:num>
  <w:num w:numId="7">
    <w:abstractNumId w:val="7"/>
  </w:num>
  <w:num w:numId="8">
    <w:abstractNumId w:val="6"/>
  </w:num>
  <w:num w:numId="9">
    <w:abstractNumId w:val="4"/>
  </w:num>
  <w:num w:numId="10">
    <w:abstractNumId w:val="8"/>
  </w:num>
  <w:num w:numId="11">
    <w:abstractNumId w:val="3"/>
  </w:num>
  <w:num w:numId="1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2"/>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5A8B"/>
    <w:rsid w:val="000D5A8B"/>
    <w:rsid w:val="002919A6"/>
    <w:rsid w:val="00727BAE"/>
    <w:rsid w:val="00A05DDA"/>
    <w:rsid w:val="00C202A1"/>
    <w:rsid w:val="00DC3A1E"/>
    <w:rsid w:val="00FF056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A9B51E"/>
  <w15:chartTrackingRefBased/>
  <w15:docId w15:val="{118FE716-B712-496C-98E8-D71783EADA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fr-FR"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0D5A8B"/>
    <w:pPr>
      <w:tabs>
        <w:tab w:val="center" w:pos="4536"/>
        <w:tab w:val="right" w:pos="9072"/>
      </w:tabs>
      <w:spacing w:after="0" w:line="240" w:lineRule="auto"/>
    </w:pPr>
  </w:style>
  <w:style w:type="character" w:customStyle="1" w:styleId="En-tteCar">
    <w:name w:val="En-tête Car"/>
    <w:basedOn w:val="Policepardfaut"/>
    <w:link w:val="En-tte"/>
    <w:uiPriority w:val="99"/>
    <w:rsid w:val="000D5A8B"/>
  </w:style>
  <w:style w:type="paragraph" w:styleId="Pieddepage">
    <w:name w:val="footer"/>
    <w:basedOn w:val="Normal"/>
    <w:link w:val="PieddepageCar"/>
    <w:uiPriority w:val="99"/>
    <w:unhideWhenUsed/>
    <w:rsid w:val="000D5A8B"/>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0D5A8B"/>
  </w:style>
  <w:style w:type="paragraph" w:styleId="Paragraphedeliste">
    <w:name w:val="List Paragraph"/>
    <w:basedOn w:val="Normal"/>
    <w:uiPriority w:val="34"/>
    <w:qFormat/>
    <w:rsid w:val="000D5A8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322522">
      <w:bodyDiv w:val="1"/>
      <w:marLeft w:val="0"/>
      <w:marRight w:val="0"/>
      <w:marTop w:val="0"/>
      <w:marBottom w:val="0"/>
      <w:divBdr>
        <w:top w:val="none" w:sz="0" w:space="0" w:color="auto"/>
        <w:left w:val="none" w:sz="0" w:space="0" w:color="auto"/>
        <w:bottom w:val="none" w:sz="0" w:space="0" w:color="auto"/>
        <w:right w:val="none" w:sz="0" w:space="0" w:color="auto"/>
      </w:divBdr>
    </w:div>
    <w:div w:id="214974111">
      <w:bodyDiv w:val="1"/>
      <w:marLeft w:val="0"/>
      <w:marRight w:val="0"/>
      <w:marTop w:val="0"/>
      <w:marBottom w:val="0"/>
      <w:divBdr>
        <w:top w:val="none" w:sz="0" w:space="0" w:color="auto"/>
        <w:left w:val="none" w:sz="0" w:space="0" w:color="auto"/>
        <w:bottom w:val="none" w:sz="0" w:space="0" w:color="auto"/>
        <w:right w:val="none" w:sz="0" w:space="0" w:color="auto"/>
      </w:divBdr>
      <w:divsChild>
        <w:div w:id="726302249">
          <w:marLeft w:val="0"/>
          <w:marRight w:val="0"/>
          <w:marTop w:val="0"/>
          <w:marBottom w:val="0"/>
          <w:divBdr>
            <w:top w:val="none" w:sz="0" w:space="0" w:color="auto"/>
            <w:left w:val="none" w:sz="0" w:space="0" w:color="auto"/>
            <w:bottom w:val="none" w:sz="0" w:space="0" w:color="auto"/>
            <w:right w:val="none" w:sz="0" w:space="0" w:color="auto"/>
          </w:divBdr>
          <w:divsChild>
            <w:div w:id="840391087">
              <w:marLeft w:val="0"/>
              <w:marRight w:val="0"/>
              <w:marTop w:val="0"/>
              <w:marBottom w:val="0"/>
              <w:divBdr>
                <w:top w:val="none" w:sz="0" w:space="0" w:color="auto"/>
                <w:left w:val="none" w:sz="0" w:space="0" w:color="auto"/>
                <w:bottom w:val="none" w:sz="0" w:space="0" w:color="auto"/>
                <w:right w:val="none" w:sz="0" w:space="0" w:color="auto"/>
              </w:divBdr>
              <w:divsChild>
                <w:div w:id="868496959">
                  <w:marLeft w:val="0"/>
                  <w:marRight w:val="0"/>
                  <w:marTop w:val="0"/>
                  <w:marBottom w:val="0"/>
                  <w:divBdr>
                    <w:top w:val="none" w:sz="0" w:space="0" w:color="auto"/>
                    <w:left w:val="none" w:sz="0" w:space="0" w:color="auto"/>
                    <w:bottom w:val="none" w:sz="0" w:space="0" w:color="auto"/>
                    <w:right w:val="none" w:sz="0" w:space="0" w:color="auto"/>
                  </w:divBdr>
                  <w:divsChild>
                    <w:div w:id="1906211863">
                      <w:marLeft w:val="0"/>
                      <w:marRight w:val="0"/>
                      <w:marTop w:val="0"/>
                      <w:marBottom w:val="0"/>
                      <w:divBdr>
                        <w:top w:val="none" w:sz="0" w:space="0" w:color="auto"/>
                        <w:left w:val="none" w:sz="0" w:space="0" w:color="auto"/>
                        <w:bottom w:val="none" w:sz="0" w:space="0" w:color="auto"/>
                        <w:right w:val="none" w:sz="0" w:space="0" w:color="auto"/>
                      </w:divBdr>
                      <w:divsChild>
                        <w:div w:id="1987081717">
                          <w:marLeft w:val="0"/>
                          <w:marRight w:val="0"/>
                          <w:marTop w:val="0"/>
                          <w:marBottom w:val="0"/>
                          <w:divBdr>
                            <w:top w:val="none" w:sz="0" w:space="0" w:color="auto"/>
                            <w:left w:val="none" w:sz="0" w:space="0" w:color="auto"/>
                            <w:bottom w:val="none" w:sz="0" w:space="0" w:color="auto"/>
                            <w:right w:val="none" w:sz="0" w:space="0" w:color="auto"/>
                          </w:divBdr>
                          <w:divsChild>
                            <w:div w:id="574435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14197476">
      <w:bodyDiv w:val="1"/>
      <w:marLeft w:val="0"/>
      <w:marRight w:val="0"/>
      <w:marTop w:val="0"/>
      <w:marBottom w:val="0"/>
      <w:divBdr>
        <w:top w:val="none" w:sz="0" w:space="0" w:color="auto"/>
        <w:left w:val="none" w:sz="0" w:space="0" w:color="auto"/>
        <w:bottom w:val="none" w:sz="0" w:space="0" w:color="auto"/>
        <w:right w:val="none" w:sz="0" w:space="0" w:color="auto"/>
      </w:divBdr>
    </w:div>
    <w:div w:id="1923951427">
      <w:bodyDiv w:val="1"/>
      <w:marLeft w:val="0"/>
      <w:marRight w:val="0"/>
      <w:marTop w:val="0"/>
      <w:marBottom w:val="0"/>
      <w:divBdr>
        <w:top w:val="none" w:sz="0" w:space="0" w:color="auto"/>
        <w:left w:val="none" w:sz="0" w:space="0" w:color="auto"/>
        <w:bottom w:val="none" w:sz="0" w:space="0" w:color="auto"/>
        <w:right w:val="none" w:sz="0" w:space="0" w:color="auto"/>
      </w:divBdr>
      <w:divsChild>
        <w:div w:id="547113365">
          <w:marLeft w:val="0"/>
          <w:marRight w:val="0"/>
          <w:marTop w:val="0"/>
          <w:marBottom w:val="0"/>
          <w:divBdr>
            <w:top w:val="none" w:sz="0" w:space="0" w:color="auto"/>
            <w:left w:val="none" w:sz="0" w:space="0" w:color="auto"/>
            <w:bottom w:val="none" w:sz="0" w:space="0" w:color="auto"/>
            <w:right w:val="none" w:sz="0" w:space="0" w:color="auto"/>
          </w:divBdr>
          <w:divsChild>
            <w:div w:id="594485414">
              <w:marLeft w:val="0"/>
              <w:marRight w:val="0"/>
              <w:marTop w:val="0"/>
              <w:marBottom w:val="0"/>
              <w:divBdr>
                <w:top w:val="none" w:sz="0" w:space="0" w:color="auto"/>
                <w:left w:val="none" w:sz="0" w:space="0" w:color="auto"/>
                <w:bottom w:val="none" w:sz="0" w:space="0" w:color="auto"/>
                <w:right w:val="none" w:sz="0" w:space="0" w:color="auto"/>
              </w:divBdr>
              <w:divsChild>
                <w:div w:id="1409770867">
                  <w:marLeft w:val="0"/>
                  <w:marRight w:val="0"/>
                  <w:marTop w:val="0"/>
                  <w:marBottom w:val="0"/>
                  <w:divBdr>
                    <w:top w:val="none" w:sz="0" w:space="0" w:color="auto"/>
                    <w:left w:val="none" w:sz="0" w:space="0" w:color="auto"/>
                    <w:bottom w:val="none" w:sz="0" w:space="0" w:color="auto"/>
                    <w:right w:val="none" w:sz="0" w:space="0" w:color="auto"/>
                  </w:divBdr>
                  <w:divsChild>
                    <w:div w:id="490677156">
                      <w:marLeft w:val="0"/>
                      <w:marRight w:val="0"/>
                      <w:marTop w:val="0"/>
                      <w:marBottom w:val="0"/>
                      <w:divBdr>
                        <w:top w:val="none" w:sz="0" w:space="0" w:color="auto"/>
                        <w:left w:val="none" w:sz="0" w:space="0" w:color="auto"/>
                        <w:bottom w:val="none" w:sz="0" w:space="0" w:color="auto"/>
                        <w:right w:val="none" w:sz="0" w:space="0" w:color="auto"/>
                      </w:divBdr>
                      <w:divsChild>
                        <w:div w:id="1471704416">
                          <w:marLeft w:val="0"/>
                          <w:marRight w:val="0"/>
                          <w:marTop w:val="0"/>
                          <w:marBottom w:val="0"/>
                          <w:divBdr>
                            <w:top w:val="none" w:sz="0" w:space="0" w:color="auto"/>
                            <w:left w:val="none" w:sz="0" w:space="0" w:color="auto"/>
                            <w:bottom w:val="none" w:sz="0" w:space="0" w:color="auto"/>
                            <w:right w:val="none" w:sz="0" w:space="0" w:color="auto"/>
                          </w:divBdr>
                          <w:divsChild>
                            <w:div w:id="1241596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1</Pages>
  <Words>412</Words>
  <Characters>2271</Characters>
  <Application>Microsoft Office Word</Application>
  <DocSecurity>0</DocSecurity>
  <Lines>18</Lines>
  <Paragraphs>5</Paragraphs>
  <ScaleCrop>false</ScaleCrop>
  <HeadingPairs>
    <vt:vector size="2" baseType="variant">
      <vt:variant>
        <vt:lpstr>Titre</vt:lpstr>
      </vt:variant>
      <vt:variant>
        <vt:i4>1</vt:i4>
      </vt:variant>
    </vt:vector>
  </HeadingPairs>
  <TitlesOfParts>
    <vt:vector size="1" baseType="lpstr">
      <vt:lpstr/>
    </vt:vector>
  </TitlesOfParts>
  <Company>Lycée St Charles de Rillieux-la-Pape</Company>
  <LinksUpToDate>false</LinksUpToDate>
  <CharactersWithSpaces>2678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Rosalie MACEROT</dc:creator>
  <cp:keywords/>
  <dc:description/>
  <cp:lastModifiedBy>Rosalie MACEROT</cp:lastModifiedBy>
  <cp:revision>2</cp:revision>
  <dcterms:created xsi:type="dcterms:W3CDTF">2024-11-18T11:26:00Z</dcterms:created>
  <dcterms:modified xsi:type="dcterms:W3CDTF">2024-11-18T11:39:00Z</dcterms:modified>
</cp:coreProperties>
</file>