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57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Религия в средневековье. Развитие европейской культуры в Раннем и Высоком средневековье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contextualSpacing w:val="0"/>
        <w:jc w:val="center"/>
        <w:spacing w:before="0" w:after="57" w:line="240" w:lineRule="auto"/>
        <w:rPr>
          <w:rFonts w:ascii="Times New Roman" w:hAnsi="Times New Roman" w:cs="Times New Roman"/>
          <w:b/>
          <w:bCs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Великая славянская миграция. Пар.10-12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 конца 5 века варварские королевства также стали приобщаться к христианству. К 13 веку-христианство-ведущая религия в Европе. Появился особый слой-духовенство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-Вера объединяла и организовывала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-идея покорности воле Бога и правителя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-легитимность королевской власти, укреплялся авторитет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-религия дала ответы на многие духовные вопросы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-универсальность учения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Пути хрис-зации: 1.принятие правителями 2. Проповедники и миссионеры 3.Силой оружия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4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14:textFill>
                  <w14:solidFill>
                    <w14:schemeClr w14:val="accent4">
                      <w14:wordShade w14:val="127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Справочно: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14:textFill>
                  <w14:solidFill>
                    <w14:schemeClr w14:val="accent4">
                      <w14:wordShade w14:val="127"/>
                    </w14:schemeClr>
                  </w14:solidFill>
                </w14:textFill>
              </w:rPr>
              <w:t xml:space="preserve">Первые христианские общины возникли в Иудее.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14:textFill>
                  <w14:solidFill>
                    <w14:schemeClr w14:val="accent4">
                      <w14:wordShade w14:val="127"/>
                    </w14:schemeClr>
                  </w14:solidFill>
                </w14:textFill>
              </w:rPr>
              <w:t xml:space="preserve">Конец 2 века н.э. распространилось в Римской империи.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14:textFill>
                  <w14:solidFill>
                    <w14:schemeClr w14:val="accent4">
                      <w14:wordShade w14:val="127"/>
                    </w14:schemeClr>
                  </w14:solidFill>
                </w14:textFill>
              </w:rPr>
              <w:t xml:space="preserve">323 г н.э.император Константин разрешил строить церкви и остановил гонения на христиан.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14:textFill>
                  <w14:solidFill>
                    <w14:schemeClr w14:val="accent4">
                      <w14:wordShade w14:val="127"/>
                    </w14:schemeClr>
                  </w14:solidFill>
                </w14:textFill>
              </w:rPr>
              <w:t xml:space="preserve">В конце 4 века христианство стало официальной религией РИ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14:textFill>
                  <w14:solidFill>
                    <w14:schemeClr w14:val="accent4">
                      <w14:wordShade w14:val="127"/>
                    </w14:schemeClr>
                  </w14:solidFill>
                </w14:textFill>
              </w:rPr>
            </w:r>
          </w:p>
        </w:tc>
      </w:tr>
    </w:tbl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Cambria" w:hAnsi="Cambria" w:eastAsia="Cambria"/>
          <w:sz w:val="26"/>
          <w:szCs w:val="26"/>
          <w:lang w:val="ru-RU"/>
        </w:rPr>
        <w:t xml:space="preserve">В  конце V в. хр-во принял король франков Хлодвиг. Папа Римский  поддерживал Хлодвига в его захватнической политике, оправдывая её тем, что он воюет против врагов церкви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Особая роль –монастыри. Возникли в 3 веке как поселения отшельников.Типы монастырей: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Аббатство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— католический монастырь</w:t>
      </w:r>
      <w:r/>
    </w:p>
    <w:p>
      <w:pPr>
        <w:contextualSpacing w:val="0"/>
        <w:jc w:val="left"/>
        <w:spacing w:before="0" w:after="57" w:line="240" w:lineRule="auto"/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Лавра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— крупнейший мужской православный монастырь</w:t>
      </w:r>
      <w:r/>
    </w:p>
    <w:p>
      <w:pPr>
        <w:contextualSpacing w:val="0"/>
        <w:jc w:val="left"/>
        <w:spacing w:before="0" w:after="57" w:line="240" w:lineRule="auto"/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Скит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— жилище отшельника</w:t>
      </w:r>
      <w:r/>
    </w:p>
    <w:p>
      <w:pPr>
        <w:contextualSpacing w:val="0"/>
        <w:jc w:val="left"/>
        <w:spacing w:before="0" w:after="57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Государственная религия - вероучение, закрепленное в качестве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господствующего в государстве на законодательном уровне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8 веке создано папское государство. Пипин Короткий (отец Карла Великого) сделал подарок Папе Римскому в виде территорий, взамен Папа благословил Пипина на трон, хотя тот был министром(майордомом). Настоящего короля в монахи.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left"/>
        <w:rPr>
          <w:rFonts w:ascii="Times New Roman" w:hAnsi="Times New Roman" w:eastAsia="Cambria" w:cs="Times New Roman"/>
          <w:b w:val="0"/>
          <w:bCs w:val="0"/>
          <w:i w:val="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Папское государство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highlight w:val="none"/>
        </w:rPr>
        <w:t xml:space="preserve">теократическое государство, существовавшее в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highlight w:val="none"/>
        </w:rPr>
        <w:t xml:space="preserve">центральной Италии и возглавлявшееся папами ― патриархами Римской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highlight w:val="none"/>
        </w:rPr>
        <w:t xml:space="preserve">Католической церкви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  <w:t xml:space="preserve">Карл Великий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  <w:t xml:space="preserve">, опираясь на союз с Папой  значительно расширил границы Франкского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 государства. В лице императора франков Римская церковь получила надёжного защитника своих земельных владений от посягательств извне. Император узаконил церковную десятину. Возложение короны Папой стало</w:t>
      </w:r>
      <w:r>
        <w:rPr>
          <w:rFonts w:ascii="Times New Roman" w:hAnsi="Times New Roman" w:eastAsia="Cambria" w:cs="Times New Roman"/>
          <w:sz w:val="26"/>
          <w:szCs w:val="26"/>
          <w:lang w:val="ru-RU"/>
        </w:rPr>
        <w:t xml:space="preserve"> означать, что светская власть, сколь бы могущественной она ни была, обретает законность лишь с благословения церкви.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 w:val="0"/>
        <w:jc w:val="left"/>
        <w:spacing w:before="0" w:after="57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Причины возвышения Папства: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-Слабость варварских королевств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-Феодальная раздробленность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-Сфабриковано «Константинов Дар» 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-Пипинов Дар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-Обязанность десятины- на всех, и королей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-Накопление богатств церковью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-Безбрачие священников</w:t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</w:r>
    </w:p>
    <w:p>
      <w:pPr>
        <w:contextualSpacing w:val="0"/>
        <w:jc w:val="left"/>
        <w:spacing w:before="0" w:after="6" w:line="276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14:textFill>
            <w14:solidFill>
              <w14:schemeClr w14:val="accent4">
                <w14:wordShade w14:val="127"/>
              </w14:schemeClr>
            </w14:solidFill>
          </w14:textFill>
        </w:rPr>
        <w:t xml:space="preserve">-Право отпускать грехи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57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Могущественные Папы: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14:ligatures w14:val="none"/>
        </w:rPr>
      </w:r>
    </w:p>
    <w:p>
      <w:pPr>
        <w:jc w:val="left"/>
        <w:rPr>
          <w:rFonts w:ascii="Times New Roman" w:hAnsi="Times New Roman" w:eastAsia="Cambria" w:cs="Times New Roman"/>
          <w:b w:val="0"/>
          <w:bCs w:val="0"/>
          <w:i w:val="0"/>
          <w:sz w:val="26"/>
          <w:szCs w:val="26"/>
          <w:highlight w:val="none"/>
          <w:lang w:val="ru-RU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Иннокентий III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 - Папа Римский с 8 января 1198 года по 16 июля 1216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года. При нем католическая церковь достигла пика могущества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  <w:t xml:space="preserve">Став во главе церкви, он решительно вмешивался в политику европейских государств, взяв на себя роль арбитра между феодальными правителями. Именно Иннокентий III был вдохновителем походов крестоносцев в Восточную Прибалтику.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lang w:val="ru-RU"/>
        </w:rPr>
      </w:r>
    </w:p>
    <w:p>
      <w:pPr>
        <w:jc w:val="left"/>
        <w:rPr>
          <w:rFonts w:ascii="Times New Roman" w:hAnsi="Times New Roman" w:eastAsia="Cambria" w:cs="Times New Roman"/>
          <w:b w:val="0"/>
          <w:bCs w:val="0"/>
          <w:i w:val="0"/>
          <w:sz w:val="26"/>
          <w:szCs w:val="26"/>
          <w:lang w:val="ru-RU"/>
          <w14:ligatures w14:val="none"/>
        </w:rPr>
      </w:pPr>
      <w:r>
        <w:rPr>
          <w:rFonts w:ascii="Times New Roman" w:hAnsi="Times New Roman" w:eastAsia="Cambria" w:cs="Times New Roman"/>
          <w:b/>
          <w:bCs/>
          <w:i w:val="0"/>
          <w:iCs w:val="0"/>
          <w:sz w:val="26"/>
          <w:szCs w:val="26"/>
          <w:highlight w:val="none"/>
          <w:lang w:val="ru-RU"/>
        </w:rPr>
        <w:t xml:space="preserve">Григорий 7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highlight w:val="none"/>
          <w:lang w:val="ru-RU"/>
        </w:rPr>
        <w:t xml:space="preserve"> (Каносса, интердат на Генриха 4) </w:t>
      </w:r>
      <w:r>
        <w:rPr>
          <w:rFonts w:ascii="Times New Roman" w:hAnsi="Times New Roman" w:eastAsia="Cambria" w:cs="Times New Roman"/>
          <w:b/>
          <w:bCs/>
          <w:i w:val="0"/>
          <w:iCs w:val="0"/>
          <w:sz w:val="26"/>
          <w:szCs w:val="26"/>
          <w:highlight w:val="none"/>
          <w:lang w:val="ru-RU"/>
        </w:rPr>
        <w:t xml:space="preserve">Урбан 2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highlight w:val="none"/>
          <w:lang w:val="ru-RU"/>
        </w:rPr>
        <w:t xml:space="preserve">-1095-призвал к крестовым походам</w:t>
      </w:r>
      <w:r>
        <w:rPr>
          <w:rFonts w:ascii="Times New Roman" w:hAnsi="Times New Roman" w:eastAsia="Cambria" w:cs="Times New Roman"/>
          <w:b w:val="0"/>
          <w:bCs w:val="0"/>
          <w:i w:val="0"/>
          <w:iCs w:val="0"/>
          <w:sz w:val="26"/>
          <w:szCs w:val="26"/>
          <w:highlight w:val="none"/>
          <w:lang w:val="ru-RU"/>
        </w:rPr>
      </w:r>
    </w:p>
    <w:p>
      <w:pPr>
        <w:contextualSpacing w:val="0"/>
        <w:jc w:val="left"/>
        <w:spacing w:before="0" w:after="-57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В Византии сложились свои традиции христианства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jc w:val="left"/>
        <w:spacing w:before="0" w:after="-57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С времен Юстиниана (6 век-14 век) был принцип «симфония властей» союз православной церкви и государственной власти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Духовная сфера –в ведении патриарха, материальная –императора. Они поддерживали интересы друг друга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1054 церковный раскол. Проведен собор, на котором выявлены развогласия. Взаимная анафема.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противостоянии католичества и православия упор делался не на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политические претензии, а на существовавшие с IX в. различия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догматах веры, обрядах, организации управления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условиях автономии церкви на Западе сложилась традиция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богослужения исключительно на латыни. В православном мире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богослужения велись на церковнославянском языке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 w:val="0"/>
          <w:bCs w:val="0"/>
        </w:rPr>
        <w:suppressLineNumbers w:val="0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- 1096 г. – начало крестовых походов.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Цель –освобождение Иерусалима от арабов.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Иерусалимское королевство – государство крестоносцев, возникшее в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Леванте в 1099 году после завершения Первого крестового похода.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Королевство просуществовало почти двести лет, с 1099 по 1291 год,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когда его последняя оставшаяся территория с городом Акра была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захвачена мамлюками.</w:t>
      </w:r>
      <w:r/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процессе крестовых походов в Палестине были созданы духовно--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рыцарские ордены, сочетавшие монашеское поведение с вооруженной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защитой христианских завоеваний.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Первым среди них стал орден тамплиеров, затем появились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госпитальеры, а в 1198 г. в Иерусалиме был основан Тевтонский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(Немецкий) орден, куда принимали только немецких рыцарей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>
        <w:trPr/>
        <w:tc>
          <w:tcPr>
            <w:tcW w:w="523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-57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Причины крестовых походов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-57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Последствия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5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церкви распространить влияние на 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Правители и знать мечтали увеличить свои владения и богатство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Крестьяне хотели земли и свободы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Торговцы-укрепить торговые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 w:val="0"/>
              <w:jc w:val="left"/>
              <w:spacing w:before="0" w:after="-57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Вера в спасение души через борьбу за веру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contextualSpacing w:val="0"/>
              <w:jc w:val="left"/>
              <w:spacing w:before="0" w:after="-57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52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Европа познакомилась с достижениями Востока в медицине, математике,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Активизировалась международная торговля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Европа узнала:шахматы, бани, рис, арбузы, лимоны и пр.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Восток узнал секрет изготовление бумаги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 w:val="0"/>
              <w:jc w:val="left"/>
              <w:spacing w:before="0" w:after="-57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Расширилась миссионерская деятельность</w:t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Культура средневековья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Характерные черты:</w:t>
      </w:r>
      <w:r>
        <w:rPr>
          <w:b/>
          <w:bCs/>
          <w:sz w:val="24"/>
          <w:szCs w:val="24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Для эпохи Средневековья характерно взаимодействие элементов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античной, христианской и «варварской» культур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Византии сохранение древнего наследия носило системный характер</w:t>
      </w:r>
      <w:r/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Важнейшую роль в преемственности античной и средневековой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культуры сыграл латинский язык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Именно латынь стала основой для развития европейских национальных </w:t>
      </w:r>
      <w:r/>
      <w:r>
        <w:rPr>
          <w:rFonts w:ascii="Times New Roman" w:hAnsi="Times New Roman" w:cs="Times New Roman"/>
          <w:sz w:val="26"/>
          <w:szCs w:val="26"/>
          <w:highlight w:val="none"/>
        </w:rPr>
        <w:t xml:space="preserve">языков</w:t>
      </w:r>
      <w:r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-Монастыри-хранители и распространители культуры.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-Монополия церкви на образование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Церковные школы: латынь, зубрёжка и догматизм, схоластика и абстрактность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Частные школы-светские, для феодалов, 7 рыцарских добродетелей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 Карле Великом-кратковременный расцвет культуры «Каролингское Возрождение»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/>
          <w:bCs/>
          <w:i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- Каролингское Возрождение - подъем культуры во Франкском королевстве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во времена правления Карла Великого и его ближайших преемников,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характеризовался повышенным интересом к античной культуре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/>
          <w:bCs/>
          <w:i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  <w:t xml:space="preserve">Изменения в образовании в Высокое Средневековье</w:t>
      </w:r>
      <w:r/>
    </w:p>
    <w:p>
      <w:pPr>
        <w:contextualSpacing w:val="0"/>
        <w:jc w:val="left"/>
        <w:spacing w:before="0" w:after="-57" w:line="240" w:lineRule="auto"/>
        <w:rPr>
          <w:b w:val="0"/>
          <w:bCs w:val="0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• В это время отдельные кафедральные и монастырские школы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превращались в крупные учебные центры, которые затем стали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первыми университетами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 w:val="0"/>
          <w:bCs w:val="0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• Они представляли собой средневековые корпорации — объединения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учащихся и преподавателей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• На подготовительном факультете происходило освоение «семи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свободных искусств»: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  <w:t xml:space="preserve">грамматики, риторики, диалектики, арифметики,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  <w:t xml:space="preserve">геометрии, астрономии, музыки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• После овладения этими дисциплинами студент мог продолжить учебу,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выбрав один из трех высших факультетов университета: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  <w:t xml:space="preserve">богословский,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  <w:t xml:space="preserve">медицинский или юридический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 w:val="0"/>
          <w:bCs w:val="0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  <w:r>
        <w:rPr>
          <w:b w:val="0"/>
          <w:bCs w:val="0"/>
        </w:rPr>
      </w:r>
    </w:p>
    <w:p>
      <w:pPr>
        <w:contextualSpacing w:val="0"/>
        <w:jc w:val="left"/>
        <w:spacing w:before="0" w:after="-57" w:line="240" w:lineRule="auto"/>
        <w:rPr>
          <w:b w:val="0"/>
          <w:bCs w:val="0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- Болонский университет – итальянский государственный университет,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старейший университет в западном мире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- Аль-Карауин в г. Фес в Марокко, открывший свои двери в IX в. –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старейший в мире университет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Роберт Гроссетест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(Роберт Большая Голова), канцлер Оксфордского университета-основоположник экспериментального естествознания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Роджер Бэкон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-математический и экспериментальный методы в науке. Природа света и цвета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Марко Поло –путешествие в Китай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Книги на пергаменте, украшены миниатюрами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Рыцарские романы: «Песнь о Роланде», «Песнь о Нибелунгах», городская поэзия: О Робин Гуде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Архитектура: 11-13-романский стиль, 12-13 готический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  <w:t xml:space="preserve">Достижения в науке и культуре Византии</w:t>
      </w:r>
      <w:r>
        <w:rPr>
          <w:b/>
          <w:bCs/>
          <w:sz w:val="24"/>
          <w:szCs w:val="24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Византия была центром значительных научных и культурных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достижений Раннего и Высокого средневековья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Так, один из основоположников алгебры Лев Математик изобрел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световой телеграф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Используя античное наследие, византийцы создали богатую библиотеку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научных и философских текстов.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Получили распространение жанры исторических хроник («Хроника»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Евсевия Кесарийского), жизнеописаний великих правителей и военной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истории («История войн Юстиниана» Прокопия Кесарийского)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Шедевр архитектуры-Софийский собор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  <w:t xml:space="preserve">Великая славянская миграция. 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  <w:t xml:space="preserve">Проблема происхождения славян</w:t>
      </w:r>
      <w:r/>
      <w:r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Существуют различные точки зрения об их прародине, времени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окончательного выделения в самостоятельный этнос, путях миграций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Наиболее обоснованным является мнение, что славяне как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самостоятельный народ сформировались в середине 1-го тыс. до н. э.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Гипотезы прародины славян:</w:t>
      </w:r>
      <w:r>
        <w:rPr>
          <w:b/>
          <w:bCs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- Висло-Одерская (территория современной Польши).</w:t>
      </w:r>
      <w:r/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- Среднеднепровская (территория северо-западной Украины, южной Беларуси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и юго-восточных областей Польши).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- Дунайская — Средний Дунай (территория современной Венгрии)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Упоминание славян:</w:t>
      </w:r>
      <w:r/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Впервые –античные авторы:</w:t>
      </w:r>
      <w:r/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славяне, возможно, встречаются под названием «венеды» в I в. н. э.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(Плиний Старший)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В сочинении готского историка VI в. Иордана венеды уже делятся на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две группы — собственно славяне (склавины) и анты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b/>
          <w:bCs/>
        </w:rPr>
        <w:suppressLineNumbers w:val="0"/>
      </w:pP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</w:rPr>
        <w:t xml:space="preserve">Особенности расселения и миграции славян:</w:t>
      </w:r>
      <w:r>
        <w:rPr>
          <w:b/>
          <w:bCs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Cs w:val="0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Ш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ирокой экспансия кельтов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  <w:t xml:space="preserve"> в местах их расселения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У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худшение климатических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условий к IV в. н. э.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 Нашествие гуннов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Процесс не был единовременным и продолжался до конца 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Раннего средневековья</w:t>
      </w:r>
      <w:r/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</w:r>
      <w:r/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</w:rPr>
        <w:t xml:space="preserve">•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 Один из путей шел с юга. С территории Среднего Поднепровья славяне 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двигались вдоль рек Днепр, Припять и их притоков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• Археологические свидетельства проживания славян на юге Беларуси, на 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территории Полесья, относятся к концу IV в.</w:t>
      </w:r>
      <w:r>
        <w:rPr>
          <w:rFonts w:ascii="Times New Roman" w:hAnsi="Times New Roman" w:cs="Times New Roman"/>
          <w:sz w:val="28"/>
          <w:szCs w:val="28"/>
        </w:rPr>
        <w:t xml:space="preserve"> Это городище Хотомель и селище Петриков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•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Прежние жители — балты — были вынуждены покинуть 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обжитые места. Те же, кто остался, постепенно сливались со славянами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• На территории Восточной Европы сложилось 12 славянских «племен»: 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поляне, древляне, дреговичи, волыняне, уличи, тиверцы, белые хорваты, 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северы (северяне), вятичи, радимичи, кривичи, словене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• В пределах территории современной Беларуси разместились: на юге 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и в центре — дреговичи, на востоке — радимичи, на севере — 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полочане (часть большого союза кривичей); на юго-западе, на 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территории современной Брестской области, проживали волыняне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• На основе союзов племен в середине IX в. образовались племенные 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княжения — промежуточный этап на пути к государству</w:t>
      </w:r>
      <w:r/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Функция правителя князя-защита, сбор дружины, сбор налогов (полюдье), суд в некоторых случаях, но высший орган власти – вече(могло приглашать/прогонять князя)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-57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  <w:t xml:space="preserve">Первые сведения о князьях в белорусских землях-Рогволод, Тур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2025-08-21T19:55:13Z</dcterms:modified>
</cp:coreProperties>
</file>