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69" w:rsidRPr="00AA5098" w:rsidRDefault="00AA5098" w:rsidP="00AA5098">
      <w:pPr>
        <w:spacing w:after="0"/>
        <w:rPr>
          <w:rFonts w:ascii="Times New Roman" w:hAnsi="Times New Roman" w:cs="Times New Roman"/>
          <w:b/>
          <w:sz w:val="28"/>
          <w:szCs w:val="28"/>
        </w:rPr>
      </w:pPr>
      <w:bookmarkStart w:id="0" w:name="_GoBack"/>
      <w:r w:rsidRPr="00AA5098">
        <w:rPr>
          <w:rFonts w:ascii="Times New Roman" w:hAnsi="Times New Roman" w:cs="Times New Roman"/>
          <w:b/>
          <w:sz w:val="28"/>
          <w:szCs w:val="28"/>
        </w:rPr>
        <w:t>ARTICLE COUCHOT-SCHIEX</w:t>
      </w:r>
    </w:p>
    <w:bookmarkEnd w:id="0"/>
    <w:p w:rsidR="00AA5098" w:rsidRDefault="00AA5098" w:rsidP="00AA5098">
      <w:pPr>
        <w:spacing w:after="0"/>
        <w:rPr>
          <w:rFonts w:ascii="Times New Roman" w:hAnsi="Times New Roman" w:cs="Times New Roman"/>
          <w:sz w:val="28"/>
          <w:szCs w:val="28"/>
        </w:rPr>
      </w:pP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i/>
          <w:iCs/>
          <w:sz w:val="28"/>
          <w:szCs w:val="28"/>
        </w:rPr>
        <w:t xml:space="preserve">Sigolène </w:t>
      </w:r>
      <w:proofErr w:type="spellStart"/>
      <w:r w:rsidRPr="00AA5098">
        <w:rPr>
          <w:rFonts w:ascii="Times New Roman" w:hAnsi="Times New Roman" w:cs="Times New Roman"/>
          <w:i/>
          <w:iCs/>
          <w:sz w:val="28"/>
          <w:szCs w:val="28"/>
        </w:rPr>
        <w:t>Couchot-Schiex</w:t>
      </w:r>
      <w:proofErr w:type="spellEnd"/>
      <w:r w:rsidRPr="00AA5098">
        <w:rPr>
          <w:rFonts w:ascii="Times New Roman" w:hAnsi="Times New Roman" w:cs="Times New Roman"/>
          <w:i/>
          <w:iCs/>
          <w:sz w:val="28"/>
          <w:szCs w:val="28"/>
        </w:rPr>
        <w:t xml:space="preserve"> </w:t>
      </w:r>
      <w:r w:rsidRPr="00AA5098">
        <w:rPr>
          <w:rFonts w:ascii="Times New Roman" w:hAnsi="Times New Roman" w:cs="Times New Roman"/>
          <w:sz w:val="28"/>
          <w:szCs w:val="28"/>
        </w:rPr>
        <w:t xml:space="preserve">est enseignante et chercheuse, chargée de mission de la formation des maîtres de conférences à l’Université CY Cergy Paris Université. Ses domaines d’expertise sont le sexisme et le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la socialisation de la jeunesse et les rapports sociaux de genre et la lutte contre les discriminations liées aux rapports sociaux, de sexe, genre et sexualités. Elle nous propose son éclairage en tant qu’experte sur la question du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chez les jeunes.</w:t>
      </w:r>
    </w:p>
    <w:p w:rsidR="00AA5098" w:rsidRPr="00AA5098" w:rsidRDefault="00AA5098" w:rsidP="00AA5098">
      <w:pPr>
        <w:spacing w:after="0"/>
        <w:rPr>
          <w:rFonts w:ascii="Times New Roman" w:hAnsi="Times New Roman" w:cs="Times New Roman"/>
          <w:b/>
          <w:bCs/>
          <w:sz w:val="28"/>
          <w:szCs w:val="28"/>
        </w:rPr>
      </w:pPr>
      <w:r w:rsidRPr="00AA5098">
        <w:rPr>
          <w:rFonts w:ascii="Times New Roman" w:hAnsi="Times New Roman" w:cs="Times New Roman"/>
          <w:b/>
          <w:bCs/>
          <w:sz w:val="28"/>
          <w:szCs w:val="28"/>
        </w:rPr>
        <w:t xml:space="preserve">Comment définissez-vous le </w:t>
      </w:r>
      <w:proofErr w:type="spellStart"/>
      <w:r w:rsidRPr="00AA5098">
        <w:rPr>
          <w:rFonts w:ascii="Times New Roman" w:hAnsi="Times New Roman" w:cs="Times New Roman"/>
          <w:b/>
          <w:bCs/>
          <w:sz w:val="28"/>
          <w:szCs w:val="28"/>
        </w:rPr>
        <w:t>cybersexisme</w:t>
      </w:r>
      <w:proofErr w:type="spellEnd"/>
      <w:r w:rsidRPr="00AA5098">
        <w:rPr>
          <w:rFonts w:ascii="Times New Roman" w:hAnsi="Times New Roman" w:cs="Times New Roman"/>
          <w:b/>
          <w:bCs/>
          <w:sz w:val="28"/>
          <w:szCs w:val="28"/>
        </w:rPr>
        <w:t xml:space="preserve"> et les </w:t>
      </w:r>
      <w:proofErr w:type="spellStart"/>
      <w:r w:rsidRPr="00AA5098">
        <w:rPr>
          <w:rFonts w:ascii="Times New Roman" w:hAnsi="Times New Roman" w:cs="Times New Roman"/>
          <w:b/>
          <w:bCs/>
          <w:sz w:val="28"/>
          <w:szCs w:val="28"/>
        </w:rPr>
        <w:t>cyberviolences</w:t>
      </w:r>
      <w:proofErr w:type="spellEnd"/>
      <w:r w:rsidRPr="00AA5098">
        <w:rPr>
          <w:rFonts w:ascii="Times New Roman" w:hAnsi="Times New Roman" w:cs="Times New Roman"/>
          <w:b/>
          <w:bCs/>
          <w:sz w:val="28"/>
          <w:szCs w:val="28"/>
        </w:rPr>
        <w:t xml:space="preserv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i/>
          <w:iCs/>
          <w:sz w:val="28"/>
          <w:szCs w:val="28"/>
        </w:rPr>
        <w:t xml:space="preserve">Sigolène </w:t>
      </w:r>
      <w:proofErr w:type="spellStart"/>
      <w:r w:rsidRPr="00AA5098">
        <w:rPr>
          <w:rFonts w:ascii="Times New Roman" w:hAnsi="Times New Roman" w:cs="Times New Roman"/>
          <w:b/>
          <w:bCs/>
          <w:i/>
          <w:iCs/>
          <w:sz w:val="28"/>
          <w:szCs w:val="28"/>
        </w:rPr>
        <w:t>Couchot-Schiex</w:t>
      </w:r>
      <w:proofErr w:type="spellEnd"/>
      <w:r w:rsidRPr="00AA5098">
        <w:rPr>
          <w:rFonts w:ascii="Times New Roman" w:hAnsi="Times New Roman" w:cs="Times New Roman"/>
          <w:b/>
          <w:bCs/>
          <w:i/>
          <w:iCs/>
          <w:sz w:val="28"/>
          <w:szCs w:val="28"/>
        </w:rPr>
        <w:t xml:space="preserve"> (SCS) : </w:t>
      </w:r>
      <w:r w:rsidRPr="00AA5098">
        <w:rPr>
          <w:rFonts w:ascii="Times New Roman" w:hAnsi="Times New Roman" w:cs="Times New Roman"/>
          <w:sz w:val="28"/>
          <w:szCs w:val="28"/>
        </w:rPr>
        <w:t xml:space="preserve">De manière générale, on parlera de </w:t>
      </w:r>
      <w:proofErr w:type="spellStart"/>
      <w:r w:rsidRPr="00AA5098">
        <w:rPr>
          <w:rFonts w:ascii="Times New Roman" w:hAnsi="Times New Roman" w:cs="Times New Roman"/>
          <w:sz w:val="28"/>
          <w:szCs w:val="28"/>
        </w:rPr>
        <w:t>cyberviolences</w:t>
      </w:r>
      <w:proofErr w:type="spellEnd"/>
      <w:r w:rsidRPr="00AA5098">
        <w:rPr>
          <w:rFonts w:ascii="Times New Roman" w:hAnsi="Times New Roman" w:cs="Times New Roman"/>
          <w:sz w:val="28"/>
          <w:szCs w:val="28"/>
        </w:rPr>
        <w:t xml:space="preserve"> </w:t>
      </w:r>
      <w:r w:rsidRPr="00AA5098">
        <w:rPr>
          <w:rFonts w:ascii="Times New Roman" w:hAnsi="Times New Roman" w:cs="Times New Roman"/>
          <w:b/>
          <w:bCs/>
          <w:sz w:val="28"/>
          <w:szCs w:val="28"/>
        </w:rPr>
        <w:t xml:space="preserve">à partir de la qualification qu’en donneront les victimes selon leur perception de ce qui passe </w:t>
      </w:r>
      <w:r w:rsidRPr="00AA5098">
        <w:rPr>
          <w:rFonts w:ascii="Times New Roman" w:hAnsi="Times New Roman" w:cs="Times New Roman"/>
          <w:sz w:val="28"/>
          <w:szCs w:val="28"/>
        </w:rPr>
        <w:t>par l’utilisation d’outils de connexion en ligne ou de téléphone mobile. L’utilisation de ces outils numériques ayant ici le but d’insulter, de harceler, d’humilier, de répandre des rumeurs, d’ostraciser, d’exercer une coercition externe sur un individu qui ne peut pas facilement se défendre seul ou qui subit une domination.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Des études antérieures établissaient des constats récurrents montrant de fortes différences de taux de prévalence entre les filles et les garçons (entre les femmes et les hommes, par extension) sans pouvoir expliquer d’où provenaient ces différences. Nous avons étudié le phénomène grâce au co-financement du Centre </w:t>
      </w:r>
      <w:proofErr w:type="spellStart"/>
      <w:r w:rsidRPr="00AA5098">
        <w:rPr>
          <w:rFonts w:ascii="Times New Roman" w:hAnsi="Times New Roman" w:cs="Times New Roman"/>
          <w:sz w:val="28"/>
          <w:szCs w:val="28"/>
        </w:rPr>
        <w:t>Hubertine</w:t>
      </w:r>
      <w:proofErr w:type="spellEnd"/>
      <w:r w:rsidRPr="00AA5098">
        <w:rPr>
          <w:rFonts w:ascii="Times New Roman" w:hAnsi="Times New Roman" w:cs="Times New Roman"/>
          <w:sz w:val="28"/>
          <w:szCs w:val="28"/>
        </w:rPr>
        <w:t xml:space="preserve"> </w:t>
      </w:r>
      <w:proofErr w:type="spellStart"/>
      <w:r w:rsidRPr="00AA5098">
        <w:rPr>
          <w:rFonts w:ascii="Times New Roman" w:hAnsi="Times New Roman" w:cs="Times New Roman"/>
          <w:sz w:val="28"/>
          <w:szCs w:val="28"/>
        </w:rPr>
        <w:t>Auclert</w:t>
      </w:r>
      <w:proofErr w:type="spellEnd"/>
      <w:r w:rsidRPr="00AA5098">
        <w:rPr>
          <w:rFonts w:ascii="Times New Roman" w:hAnsi="Times New Roman" w:cs="Times New Roman"/>
          <w:sz w:val="28"/>
          <w:szCs w:val="28"/>
        </w:rPr>
        <w:t xml:space="preserve"> (</w:t>
      </w:r>
      <w:hyperlink r:id="rId7" w:tgtFrame="_blank" w:history="1">
        <w:r w:rsidRPr="00AA5098">
          <w:rPr>
            <w:rStyle w:val="Lienhypertexte"/>
            <w:rFonts w:ascii="Times New Roman" w:hAnsi="Times New Roman" w:cs="Times New Roman"/>
            <w:sz w:val="28"/>
            <w:szCs w:val="28"/>
          </w:rPr>
          <w:t>étude 2016</w:t>
        </w:r>
      </w:hyperlink>
      <w:r w:rsidRPr="00AA5098">
        <w:rPr>
          <w:rFonts w:ascii="Times New Roman" w:hAnsi="Times New Roman" w:cs="Times New Roman"/>
          <w:sz w:val="28"/>
          <w:szCs w:val="28"/>
        </w:rPr>
        <w:t>) et de l’université Paris-Est Créteil. Cette étude nous a permis de comprendre que l</w:t>
      </w:r>
      <w:r w:rsidRPr="00AA5098">
        <w:rPr>
          <w:rFonts w:ascii="Times New Roman" w:hAnsi="Times New Roman" w:cs="Times New Roman"/>
          <w:b/>
          <w:bCs/>
          <w:sz w:val="28"/>
          <w:szCs w:val="28"/>
        </w:rPr>
        <w:t xml:space="preserve">es filles étaient la cible de certaines </w:t>
      </w:r>
      <w:proofErr w:type="spellStart"/>
      <w:r w:rsidRPr="00AA5098">
        <w:rPr>
          <w:rFonts w:ascii="Times New Roman" w:hAnsi="Times New Roman" w:cs="Times New Roman"/>
          <w:b/>
          <w:bCs/>
          <w:sz w:val="28"/>
          <w:szCs w:val="28"/>
        </w:rPr>
        <w:t>cyberviolences</w:t>
      </w:r>
      <w:proofErr w:type="spellEnd"/>
      <w:r w:rsidRPr="00AA5098">
        <w:rPr>
          <w:rFonts w:ascii="Times New Roman" w:hAnsi="Times New Roman" w:cs="Times New Roman"/>
          <w:b/>
          <w:bCs/>
          <w:sz w:val="28"/>
          <w:szCs w:val="28"/>
        </w:rPr>
        <w:t>, en particulier, à caractère sexiste et sexuel.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sz w:val="28"/>
          <w:szCs w:val="28"/>
        </w:rPr>
        <w:drawing>
          <wp:inline distT="0" distB="0" distL="0" distR="0">
            <wp:extent cx="2771775" cy="2324100"/>
            <wp:effectExtent l="0" t="0" r="9525" b="0"/>
            <wp:docPr id="2" name="Image 2" descr="infographie 1 itw experte lettre hubertine 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e 1 itw experte lettre hubertine N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324100"/>
                    </a:xfrm>
                    <a:prstGeom prst="rect">
                      <a:avLst/>
                    </a:prstGeom>
                    <a:noFill/>
                    <a:ln>
                      <a:noFill/>
                    </a:ln>
                  </pic:spPr>
                </pic:pic>
              </a:graphicData>
            </a:graphic>
          </wp:inline>
        </w:drawing>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Cela nous a </w:t>
      </w:r>
      <w:proofErr w:type="spellStart"/>
      <w:r w:rsidRPr="00AA5098">
        <w:rPr>
          <w:rFonts w:ascii="Times New Roman" w:hAnsi="Times New Roman" w:cs="Times New Roman"/>
          <w:sz w:val="28"/>
          <w:szCs w:val="28"/>
        </w:rPr>
        <w:t>amené·es</w:t>
      </w:r>
      <w:proofErr w:type="spellEnd"/>
      <w:r w:rsidRPr="00AA5098">
        <w:rPr>
          <w:rFonts w:ascii="Times New Roman" w:hAnsi="Times New Roman" w:cs="Times New Roman"/>
          <w:sz w:val="28"/>
          <w:szCs w:val="28"/>
        </w:rPr>
        <w:t xml:space="preserve"> à concevoir une définition du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qui qualifie des faits de violence sexiste, souvent ordinaires, qui peuvent prendre de multiples formes plus ou moins graves, ciblant distinctement les garçons des filles.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 Si certains faits ciblent les jeunes atypiques ou </w:t>
      </w:r>
      <w:proofErr w:type="spellStart"/>
      <w:r w:rsidRPr="00AA5098">
        <w:rPr>
          <w:rFonts w:ascii="Times New Roman" w:hAnsi="Times New Roman" w:cs="Times New Roman"/>
          <w:sz w:val="28"/>
          <w:szCs w:val="28"/>
        </w:rPr>
        <w:t>inadapté·es</w:t>
      </w:r>
      <w:proofErr w:type="spellEnd"/>
      <w:r w:rsidRPr="00AA5098">
        <w:rPr>
          <w:rFonts w:ascii="Times New Roman" w:hAnsi="Times New Roman" w:cs="Times New Roman"/>
          <w:sz w:val="28"/>
          <w:szCs w:val="28"/>
        </w:rPr>
        <w:t xml:space="preserve"> sur le plan du genre, le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ordinaire vise à maintenir les filles dans les normes sociales sous la domination masculine.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Cette dimension sexiste, également centrale aux violences perpétrées en face-à-face mais facilitée et amplifiée par les outils numériques et leurs caractéristiques, ne peut être adéquatement ni appréhendée ni mise en avant par les concepts de </w:t>
      </w:r>
      <w:proofErr w:type="spellStart"/>
      <w:r w:rsidRPr="00AA5098">
        <w:rPr>
          <w:rFonts w:ascii="Times New Roman" w:hAnsi="Times New Roman" w:cs="Times New Roman"/>
          <w:sz w:val="28"/>
          <w:szCs w:val="28"/>
        </w:rPr>
        <w:t>cyberviolence</w:t>
      </w:r>
      <w:proofErr w:type="spellEnd"/>
      <w:r w:rsidRPr="00AA5098">
        <w:rPr>
          <w:rFonts w:ascii="Times New Roman" w:hAnsi="Times New Roman" w:cs="Times New Roman"/>
          <w:sz w:val="28"/>
          <w:szCs w:val="28"/>
        </w:rPr>
        <w:t xml:space="preserve"> ou de </w:t>
      </w:r>
      <w:proofErr w:type="spellStart"/>
      <w:r w:rsidRPr="00AA5098">
        <w:rPr>
          <w:rFonts w:ascii="Times New Roman" w:hAnsi="Times New Roman" w:cs="Times New Roman"/>
          <w:sz w:val="28"/>
          <w:szCs w:val="28"/>
        </w:rPr>
        <w:t>cyberharcèlement</w:t>
      </w:r>
      <w:proofErr w:type="spellEnd"/>
      <w:r w:rsidRPr="00AA5098">
        <w:rPr>
          <w:rFonts w:ascii="Times New Roman" w:hAnsi="Times New Roman" w:cs="Times New Roman"/>
          <w:sz w:val="28"/>
          <w:szCs w:val="28"/>
        </w:rPr>
        <w:t>.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Le plus souvent, les faits de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ne sont pas isolés, ils se combinent avec du sexisme exercé </w:t>
      </w:r>
      <w:r w:rsidRPr="00AA5098">
        <w:rPr>
          <w:rFonts w:ascii="Times New Roman" w:hAnsi="Times New Roman" w:cs="Times New Roman"/>
          <w:i/>
          <w:iCs/>
          <w:sz w:val="28"/>
          <w:szCs w:val="28"/>
        </w:rPr>
        <w:t>in real life</w:t>
      </w:r>
      <w:r w:rsidRPr="00AA5098">
        <w:rPr>
          <w:rFonts w:ascii="Times New Roman" w:hAnsi="Times New Roman" w:cs="Times New Roman"/>
          <w:sz w:val="28"/>
          <w:szCs w:val="28"/>
        </w:rPr>
        <w:t xml:space="preserve"> (IRL). Nous avons pu évaluer que dans chaque classe de notre </w:t>
      </w:r>
      <w:r w:rsidRPr="00AA5098">
        <w:rPr>
          <w:rFonts w:ascii="Times New Roman" w:hAnsi="Times New Roman" w:cs="Times New Roman"/>
          <w:sz w:val="28"/>
          <w:szCs w:val="28"/>
        </w:rPr>
        <w:lastRenderedPageBreak/>
        <w:t>enquête (décembre 2015), </w:t>
      </w:r>
      <w:r w:rsidRPr="00AA5098">
        <w:rPr>
          <w:rFonts w:ascii="Times New Roman" w:hAnsi="Times New Roman" w:cs="Times New Roman"/>
          <w:b/>
          <w:bCs/>
          <w:sz w:val="28"/>
          <w:szCs w:val="28"/>
        </w:rPr>
        <w:t>dix filles et trois garçons se disent victimes de violences à caractère sexiste et/ou sexuel, tandis que trois filles et deux garçons s’estiment victimes du même type de faits dans le cyberespace.  </w:t>
      </w:r>
    </w:p>
    <w:p w:rsidR="00AA5098" w:rsidRPr="00AA5098" w:rsidRDefault="00AA5098" w:rsidP="00AA5098">
      <w:pPr>
        <w:spacing w:after="0"/>
        <w:rPr>
          <w:rFonts w:ascii="Times New Roman" w:hAnsi="Times New Roman" w:cs="Times New Roman"/>
          <w:b/>
          <w:bCs/>
          <w:sz w:val="28"/>
          <w:szCs w:val="28"/>
        </w:rPr>
      </w:pPr>
      <w:r w:rsidRPr="00AA5098">
        <w:rPr>
          <w:rFonts w:ascii="Times New Roman" w:hAnsi="Times New Roman" w:cs="Times New Roman"/>
          <w:b/>
          <w:bCs/>
          <w:sz w:val="28"/>
          <w:szCs w:val="28"/>
        </w:rPr>
        <w:t xml:space="preserve">Comment les rapports sociaux et normes de genre peuvent conduire au </w:t>
      </w:r>
      <w:proofErr w:type="spellStart"/>
      <w:r w:rsidRPr="00AA5098">
        <w:rPr>
          <w:rFonts w:ascii="Times New Roman" w:hAnsi="Times New Roman" w:cs="Times New Roman"/>
          <w:b/>
          <w:bCs/>
          <w:sz w:val="28"/>
          <w:szCs w:val="28"/>
        </w:rPr>
        <w:t>cybersexisme</w:t>
      </w:r>
      <w:proofErr w:type="spellEnd"/>
      <w:r w:rsidRPr="00AA5098">
        <w:rPr>
          <w:rFonts w:ascii="Times New Roman" w:hAnsi="Times New Roman" w:cs="Times New Roman"/>
          <w:b/>
          <w:bCs/>
          <w:sz w:val="28"/>
          <w:szCs w:val="28"/>
        </w:rPr>
        <w:t xml:space="preserve"> et aux </w:t>
      </w:r>
      <w:proofErr w:type="spellStart"/>
      <w:r w:rsidRPr="00AA5098">
        <w:rPr>
          <w:rFonts w:ascii="Times New Roman" w:hAnsi="Times New Roman" w:cs="Times New Roman"/>
          <w:b/>
          <w:bCs/>
          <w:sz w:val="28"/>
          <w:szCs w:val="28"/>
        </w:rPr>
        <w:t>cyberviolences</w:t>
      </w:r>
      <w:proofErr w:type="spellEnd"/>
      <w:r w:rsidRPr="00AA5098">
        <w:rPr>
          <w:rFonts w:ascii="Times New Roman" w:hAnsi="Times New Roman" w:cs="Times New Roman"/>
          <w:b/>
          <w:bCs/>
          <w:sz w:val="28"/>
          <w:szCs w:val="28"/>
        </w:rPr>
        <w:t xml:space="preserv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i/>
          <w:iCs/>
          <w:sz w:val="28"/>
          <w:szCs w:val="28"/>
        </w:rPr>
        <w:t>SCS :</w:t>
      </w:r>
      <w:r w:rsidRPr="00AA5098">
        <w:rPr>
          <w:rFonts w:ascii="Times New Roman" w:hAnsi="Times New Roman" w:cs="Times New Roman"/>
          <w:sz w:val="28"/>
          <w:szCs w:val="28"/>
        </w:rPr>
        <w:t xml:space="preserve"> Le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se met en place à partir des mécanismes à l’œuvre dans le système de genre. Au bout du compte,</w:t>
      </w:r>
      <w:r w:rsidRPr="00AA5098">
        <w:rPr>
          <w:rFonts w:ascii="Times New Roman" w:hAnsi="Times New Roman" w:cs="Times New Roman"/>
          <w:b/>
          <w:bCs/>
          <w:sz w:val="28"/>
          <w:szCs w:val="28"/>
        </w:rPr>
        <w:t xml:space="preserve"> l’effet socialement recherché est le maintien d’une partition sociale qui s’appuie sur la trilogie sexe/genre/sexualité.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La différenciation entre les sexes qui s’apprend dès le plus jeune âge est l’un de ces mécanismes. Dès l’enfance, les </w:t>
      </w:r>
      <w:proofErr w:type="spellStart"/>
      <w:r w:rsidRPr="00AA5098">
        <w:rPr>
          <w:rFonts w:ascii="Times New Roman" w:hAnsi="Times New Roman" w:cs="Times New Roman"/>
          <w:sz w:val="28"/>
          <w:szCs w:val="28"/>
        </w:rPr>
        <w:t>petit·es</w:t>
      </w:r>
      <w:proofErr w:type="spellEnd"/>
      <w:r w:rsidRPr="00AA5098">
        <w:rPr>
          <w:rFonts w:ascii="Times New Roman" w:hAnsi="Times New Roman" w:cs="Times New Roman"/>
          <w:sz w:val="28"/>
          <w:szCs w:val="28"/>
        </w:rPr>
        <w:t xml:space="preserve"> sont </w:t>
      </w:r>
      <w:proofErr w:type="spellStart"/>
      <w:r w:rsidRPr="00AA5098">
        <w:rPr>
          <w:rFonts w:ascii="Times New Roman" w:hAnsi="Times New Roman" w:cs="Times New Roman"/>
          <w:sz w:val="28"/>
          <w:szCs w:val="28"/>
        </w:rPr>
        <w:t>éduqué·es</w:t>
      </w:r>
      <w:proofErr w:type="spellEnd"/>
      <w:r w:rsidRPr="00AA5098">
        <w:rPr>
          <w:rFonts w:ascii="Times New Roman" w:hAnsi="Times New Roman" w:cs="Times New Roman"/>
          <w:sz w:val="28"/>
          <w:szCs w:val="28"/>
        </w:rPr>
        <w:t xml:space="preserve"> à répondre à la commande sociale pour se comporter en « petits gars » ou en « fillettes » avec des attributs sociaux différenciés et stéréotypés. Les filles seront encouragées à prendre soin des animaux, par exemple, elles joueront au poney, ce que les garçons trouveront « nul » ; tandis que les garçons s’imagineront en superhéros qui sauvent le monde sous les applaudissements des princesses.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On perçoit dans ces exemples caricaturaux (mais tellement récurrents) que ce que font, disent ou ressentent les enfants de chaque sexe, ne reçoit pas la même valeur sociale. Tacitement, dans un mouvement social convergent, ces différences et ces hiérarchies se produisent et se reproduisent dans les situations sociales les plus ordinaires, normalisant les rapports sociaux. </w:t>
      </w:r>
      <w:r w:rsidRPr="00AA5098">
        <w:rPr>
          <w:rFonts w:ascii="Times New Roman" w:hAnsi="Times New Roman" w:cs="Times New Roman"/>
          <w:b/>
          <w:bCs/>
          <w:sz w:val="28"/>
          <w:szCs w:val="28"/>
        </w:rPr>
        <w:t xml:space="preserve">L’expression de ces normes est attendue dans les comportements sociaux. </w:t>
      </w:r>
      <w:r w:rsidRPr="00AA5098">
        <w:rPr>
          <w:rFonts w:ascii="Times New Roman" w:hAnsi="Times New Roman" w:cs="Times New Roman"/>
          <w:sz w:val="28"/>
          <w:szCs w:val="28"/>
        </w:rPr>
        <w:t>Les filles vont apprendre à prendre soin des autres et à se soumettre aux souhaits, aux désirs, aux attentes des autres, tandis que les garçons vont apprendre à exercer leur puissance, leur domination, exprimer leurs désirs sexuels à leur encontre.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 Le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suit un fil rouge qui commence par de l’humour, des injonctions sur les comportements, de la drague, des demandes de photos, de </w:t>
      </w:r>
      <w:proofErr w:type="spellStart"/>
      <w:r w:rsidRPr="00AA5098">
        <w:rPr>
          <w:rFonts w:ascii="Times New Roman" w:hAnsi="Times New Roman" w:cs="Times New Roman"/>
          <w:sz w:val="28"/>
          <w:szCs w:val="28"/>
        </w:rPr>
        <w:t>nudes</w:t>
      </w:r>
      <w:proofErr w:type="spellEnd"/>
      <w:r w:rsidRPr="00AA5098">
        <w:rPr>
          <w:rFonts w:ascii="Times New Roman" w:hAnsi="Times New Roman" w:cs="Times New Roman"/>
          <w:sz w:val="28"/>
          <w:szCs w:val="28"/>
        </w:rPr>
        <w:t xml:space="preserve"> ; pour aller parfois vers des formes aggravées de </w:t>
      </w:r>
      <w:proofErr w:type="spellStart"/>
      <w:r w:rsidRPr="00AA5098">
        <w:rPr>
          <w:rFonts w:ascii="Times New Roman" w:hAnsi="Times New Roman" w:cs="Times New Roman"/>
          <w:sz w:val="28"/>
          <w:szCs w:val="28"/>
        </w:rPr>
        <w:t>cyberviolences</w:t>
      </w:r>
      <w:proofErr w:type="spellEnd"/>
      <w:r w:rsidRPr="00AA5098">
        <w:rPr>
          <w:rFonts w:ascii="Times New Roman" w:hAnsi="Times New Roman" w:cs="Times New Roman"/>
          <w:sz w:val="28"/>
          <w:szCs w:val="28"/>
        </w:rPr>
        <w:t xml:space="preserve"> constituant des délits ou des crimes et tombant sous le coup de la loi.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Il passe par un contrôle de la tenue vestimentaire ou des fréquentations, des sollicitations pornographiques (envoi ou réception des attributs ou organes sexuels masculins ou féminins) ; il peut aboutir à la diffusion large de photos intimes sans le consentement de la personne ou le </w:t>
      </w:r>
      <w:proofErr w:type="spellStart"/>
      <w:r w:rsidRPr="00AA5098">
        <w:rPr>
          <w:rFonts w:ascii="Times New Roman" w:hAnsi="Times New Roman" w:cs="Times New Roman"/>
          <w:sz w:val="28"/>
          <w:szCs w:val="28"/>
        </w:rPr>
        <w:t>cyberharcèlement</w:t>
      </w:r>
      <w:proofErr w:type="spellEnd"/>
      <w:r w:rsidRPr="00AA5098">
        <w:rPr>
          <w:rFonts w:ascii="Times New Roman" w:hAnsi="Times New Roman" w:cs="Times New Roman"/>
          <w:sz w:val="28"/>
          <w:szCs w:val="28"/>
        </w:rPr>
        <w:t xml:space="preserve"> par des raids de trolls pour « pourrir » la page (la story) de la victime, l’afficher en tant que fille facile, en tant que « pute ».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Le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est encouragé à la fois : </w:t>
      </w:r>
    </w:p>
    <w:p w:rsidR="00AA5098" w:rsidRPr="00AA5098" w:rsidRDefault="00AA5098" w:rsidP="00AA5098">
      <w:pPr>
        <w:numPr>
          <w:ilvl w:val="0"/>
          <w:numId w:val="1"/>
        </w:numPr>
        <w:spacing w:after="0"/>
        <w:rPr>
          <w:rFonts w:ascii="Times New Roman" w:hAnsi="Times New Roman" w:cs="Times New Roman"/>
          <w:sz w:val="28"/>
          <w:szCs w:val="28"/>
        </w:rPr>
      </w:pPr>
      <w:r w:rsidRPr="00AA5098">
        <w:rPr>
          <w:rFonts w:ascii="Times New Roman" w:hAnsi="Times New Roman" w:cs="Times New Roman"/>
          <w:b/>
          <w:bCs/>
          <w:sz w:val="28"/>
          <w:szCs w:val="28"/>
        </w:rPr>
        <w:t>Par le maintien de l’organisation sociale</w:t>
      </w:r>
      <w:r w:rsidRPr="00AA5098">
        <w:rPr>
          <w:rFonts w:ascii="Times New Roman" w:hAnsi="Times New Roman" w:cs="Times New Roman"/>
          <w:sz w:val="28"/>
          <w:szCs w:val="28"/>
        </w:rPr>
        <w:t xml:space="preserve"> (système de genre) ; </w:t>
      </w:r>
    </w:p>
    <w:p w:rsidR="00AA5098" w:rsidRPr="00AA5098" w:rsidRDefault="00AA5098" w:rsidP="00AA5098">
      <w:pPr>
        <w:numPr>
          <w:ilvl w:val="0"/>
          <w:numId w:val="1"/>
        </w:numPr>
        <w:spacing w:after="0"/>
        <w:rPr>
          <w:rFonts w:ascii="Times New Roman" w:hAnsi="Times New Roman" w:cs="Times New Roman"/>
          <w:sz w:val="28"/>
          <w:szCs w:val="28"/>
        </w:rPr>
      </w:pPr>
      <w:r w:rsidRPr="00AA5098">
        <w:rPr>
          <w:rFonts w:ascii="Times New Roman" w:hAnsi="Times New Roman" w:cs="Times New Roman"/>
          <w:b/>
          <w:bCs/>
          <w:sz w:val="28"/>
          <w:szCs w:val="28"/>
        </w:rPr>
        <w:t>Par la technicité des outils numériques</w:t>
      </w:r>
      <w:r w:rsidRPr="00AA5098">
        <w:rPr>
          <w:rFonts w:ascii="Times New Roman" w:hAnsi="Times New Roman" w:cs="Times New Roman"/>
          <w:sz w:val="28"/>
          <w:szCs w:val="28"/>
        </w:rPr>
        <w:t xml:space="preserve"> qui offrent les conditions d’une mise en scène de soi soumise à l’interaction des </w:t>
      </w:r>
      <w:proofErr w:type="spellStart"/>
      <w:r w:rsidRPr="00AA5098">
        <w:rPr>
          <w:rFonts w:ascii="Times New Roman" w:hAnsi="Times New Roman" w:cs="Times New Roman"/>
          <w:sz w:val="28"/>
          <w:szCs w:val="28"/>
        </w:rPr>
        <w:t>pair·es</w:t>
      </w:r>
      <w:proofErr w:type="spellEnd"/>
      <w:r w:rsidRPr="00AA5098">
        <w:rPr>
          <w:rFonts w:ascii="Times New Roman" w:hAnsi="Times New Roman" w:cs="Times New Roman"/>
          <w:sz w:val="28"/>
          <w:szCs w:val="28"/>
        </w:rPr>
        <w:t xml:space="preserve"> (« les </w:t>
      </w:r>
      <w:proofErr w:type="spellStart"/>
      <w:r w:rsidRPr="00AA5098">
        <w:rPr>
          <w:rFonts w:ascii="Times New Roman" w:hAnsi="Times New Roman" w:cs="Times New Roman"/>
          <w:sz w:val="28"/>
          <w:szCs w:val="28"/>
        </w:rPr>
        <w:t>ami·es</w:t>
      </w:r>
      <w:proofErr w:type="spellEnd"/>
      <w:r w:rsidRPr="00AA5098">
        <w:rPr>
          <w:rFonts w:ascii="Times New Roman" w:hAnsi="Times New Roman" w:cs="Times New Roman"/>
          <w:sz w:val="28"/>
          <w:szCs w:val="28"/>
        </w:rPr>
        <w:t> » sur les réseaux sociaux) prenant la forme d’un théâtre interactif : à la créativité des « </w:t>
      </w:r>
      <w:proofErr w:type="spellStart"/>
      <w:r w:rsidRPr="00AA5098">
        <w:rPr>
          <w:rFonts w:ascii="Times New Roman" w:hAnsi="Times New Roman" w:cs="Times New Roman"/>
          <w:sz w:val="28"/>
          <w:szCs w:val="28"/>
        </w:rPr>
        <w:t>posts</w:t>
      </w:r>
      <w:proofErr w:type="spellEnd"/>
      <w:r w:rsidRPr="00AA5098">
        <w:rPr>
          <w:rFonts w:ascii="Times New Roman" w:hAnsi="Times New Roman" w:cs="Times New Roman"/>
          <w:sz w:val="28"/>
          <w:szCs w:val="28"/>
        </w:rPr>
        <w:t> » de mise en scène, répondent les commentaires et les appréciations (« </w:t>
      </w:r>
      <w:proofErr w:type="spellStart"/>
      <w:r w:rsidRPr="00AA5098">
        <w:rPr>
          <w:rFonts w:ascii="Times New Roman" w:hAnsi="Times New Roman" w:cs="Times New Roman"/>
          <w:sz w:val="28"/>
          <w:szCs w:val="28"/>
        </w:rPr>
        <w:t>like</w:t>
      </w:r>
      <w:proofErr w:type="spellEnd"/>
      <w:r w:rsidRPr="00AA5098">
        <w:rPr>
          <w:rFonts w:ascii="Times New Roman" w:hAnsi="Times New Roman" w:cs="Times New Roman"/>
          <w:sz w:val="28"/>
          <w:szCs w:val="28"/>
        </w:rPr>
        <w:t> »).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Ces réactions témoignent d’une lecture critique fine de la mise en scène intégrant les éléments contextuels et son intentionnalité de la mise en scène. C’est par essai et erreur que les jeunes (surtout les filles) apprennent les attentes et les règles de ce contrôle social. Évidemment, les erreurs n’échappent pas à la sanction des </w:t>
      </w:r>
      <w:proofErr w:type="spellStart"/>
      <w:r w:rsidRPr="00AA5098">
        <w:rPr>
          <w:rFonts w:ascii="Times New Roman" w:hAnsi="Times New Roman" w:cs="Times New Roman"/>
          <w:sz w:val="28"/>
          <w:szCs w:val="28"/>
        </w:rPr>
        <w:t>pair·es</w:t>
      </w:r>
      <w:proofErr w:type="spellEnd"/>
      <w:r w:rsidRPr="00AA5098">
        <w:rPr>
          <w:rFonts w:ascii="Times New Roman" w:hAnsi="Times New Roman" w:cs="Times New Roman"/>
          <w:sz w:val="28"/>
          <w:szCs w:val="28"/>
        </w:rPr>
        <w:t>. C’est ainsi que certaines d’entre elles se trouvent diffusées auprès d’un très grand nombre de personnes en un clic. « Tout le monde le sait, même celui qui ne sait rien d’habitude, il le sait ! » (</w:t>
      </w:r>
      <w:proofErr w:type="gramStart"/>
      <w:r w:rsidRPr="00AA5098">
        <w:rPr>
          <w:rFonts w:ascii="Times New Roman" w:hAnsi="Times New Roman" w:cs="Times New Roman"/>
          <w:sz w:val="28"/>
          <w:szCs w:val="28"/>
        </w:rPr>
        <w:t>sic</w:t>
      </w:r>
      <w:proofErr w:type="gramEnd"/>
      <w:r w:rsidRPr="00AA5098">
        <w:rPr>
          <w:rFonts w:ascii="Times New Roman" w:hAnsi="Times New Roman" w:cs="Times New Roman"/>
          <w:sz w:val="28"/>
          <w:szCs w:val="28"/>
        </w:rPr>
        <w:t>).  </w:t>
      </w:r>
    </w:p>
    <w:p w:rsidR="00AA5098" w:rsidRPr="00AA5098" w:rsidRDefault="00AA5098" w:rsidP="00AA5098">
      <w:pPr>
        <w:spacing w:after="0"/>
        <w:rPr>
          <w:rFonts w:ascii="Times New Roman" w:hAnsi="Times New Roman" w:cs="Times New Roman"/>
          <w:b/>
          <w:bCs/>
          <w:sz w:val="28"/>
          <w:szCs w:val="28"/>
        </w:rPr>
      </w:pPr>
      <w:r w:rsidRPr="00AA5098">
        <w:rPr>
          <w:rFonts w:ascii="Times New Roman" w:hAnsi="Times New Roman" w:cs="Times New Roman"/>
          <w:b/>
          <w:bCs/>
          <w:sz w:val="28"/>
          <w:szCs w:val="28"/>
        </w:rPr>
        <w:lastRenderedPageBreak/>
        <w:t xml:space="preserve">Quelles sont les spécificités du </w:t>
      </w:r>
      <w:proofErr w:type="spellStart"/>
      <w:r w:rsidRPr="00AA5098">
        <w:rPr>
          <w:rFonts w:ascii="Times New Roman" w:hAnsi="Times New Roman" w:cs="Times New Roman"/>
          <w:b/>
          <w:bCs/>
          <w:sz w:val="28"/>
          <w:szCs w:val="28"/>
        </w:rPr>
        <w:t>cybersexisme</w:t>
      </w:r>
      <w:proofErr w:type="spellEnd"/>
      <w:r w:rsidRPr="00AA5098">
        <w:rPr>
          <w:rFonts w:ascii="Times New Roman" w:hAnsi="Times New Roman" w:cs="Times New Roman"/>
          <w:b/>
          <w:bCs/>
          <w:sz w:val="28"/>
          <w:szCs w:val="28"/>
        </w:rPr>
        <w:t xml:space="preserve"> chez les jeunes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i/>
          <w:iCs/>
          <w:sz w:val="28"/>
          <w:szCs w:val="28"/>
        </w:rPr>
        <w:t xml:space="preserve">SCS : </w:t>
      </w:r>
      <w:r w:rsidRPr="00AA5098">
        <w:rPr>
          <w:rFonts w:ascii="Times New Roman" w:hAnsi="Times New Roman" w:cs="Times New Roman"/>
          <w:sz w:val="28"/>
          <w:szCs w:val="28"/>
        </w:rPr>
        <w:t>On entend souvent dire que l’anonymat facilite les expressions haineuses, et par là le sexisme. Cependant l’anonymat ne fait pas l’ordinaire des échanges sur les réseaux sociaux chez les jeunes. Ils n’adoptent pas de pseudo, par contre, ils peuvent être plus familiers ou familières de l’usurpation d’identité en « empruntant » le téléphone d’une tierce personne, parfois dans le but de lui nuire.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La puissance de la dissémination des </w:t>
      </w:r>
      <w:proofErr w:type="spellStart"/>
      <w:r w:rsidRPr="00AA5098">
        <w:rPr>
          <w:rFonts w:ascii="Times New Roman" w:hAnsi="Times New Roman" w:cs="Times New Roman"/>
          <w:sz w:val="28"/>
          <w:szCs w:val="28"/>
        </w:rPr>
        <w:t>posts</w:t>
      </w:r>
      <w:proofErr w:type="spellEnd"/>
      <w:r w:rsidRPr="00AA5098">
        <w:rPr>
          <w:rFonts w:ascii="Times New Roman" w:hAnsi="Times New Roman" w:cs="Times New Roman"/>
          <w:sz w:val="28"/>
          <w:szCs w:val="28"/>
        </w:rPr>
        <w:t xml:space="preserve"> est souvent incriminée, et à raison. C’est très significatif des comportements et de l’organisation sociale chez les jeunes. Impossible, dès lors de se cacher ou d’espérer un répit. </w:t>
      </w:r>
      <w:r w:rsidRPr="00AA5098">
        <w:rPr>
          <w:rFonts w:ascii="Times New Roman" w:hAnsi="Times New Roman" w:cs="Times New Roman"/>
          <w:b/>
          <w:bCs/>
          <w:sz w:val="28"/>
          <w:szCs w:val="28"/>
        </w:rPr>
        <w:t>Cette dissémination virtuelle va « empoisonner » la vie réelle de la victime qui subira un double calvaire.</w:t>
      </w:r>
      <w:r w:rsidRPr="00AA5098">
        <w:rPr>
          <w:rFonts w:ascii="Times New Roman" w:hAnsi="Times New Roman" w:cs="Times New Roman"/>
          <w:sz w:val="28"/>
          <w:szCs w:val="28"/>
        </w:rPr>
        <w:t xml:space="preserve"> Mais après un temps, par exemple à la rentrée suivante, tout sera oublié (sauf pour la victime).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sz w:val="28"/>
          <w:szCs w:val="28"/>
        </w:rPr>
        <w:t xml:space="preserve">Un seul message pourra dès lors suffire à nuire à une victime. </w:t>
      </w:r>
      <w:r w:rsidRPr="00AA5098">
        <w:rPr>
          <w:rFonts w:ascii="Times New Roman" w:hAnsi="Times New Roman" w:cs="Times New Roman"/>
          <w:sz w:val="28"/>
          <w:szCs w:val="28"/>
        </w:rPr>
        <w:t>Un seul message mal intentionné ou mal reçu, ou une seule photographie diffusée sans consentement pourra aboutir à un harcèlement répétitif, excessif parfois inattendu, susceptible de conséquences pouvant paraitre démesurées aux yeux des adultes (nous avions associé à ce phénomène l’image de « l’effet tsunami  »). </w:t>
      </w:r>
    </w:p>
    <w:p w:rsidR="00AA5098" w:rsidRPr="00AA5098" w:rsidRDefault="00AA5098" w:rsidP="00AA5098">
      <w:pPr>
        <w:spacing w:after="0"/>
        <w:rPr>
          <w:rFonts w:ascii="Times New Roman" w:hAnsi="Times New Roman" w:cs="Times New Roman"/>
          <w:b/>
          <w:bCs/>
          <w:sz w:val="28"/>
          <w:szCs w:val="28"/>
        </w:rPr>
      </w:pPr>
      <w:r w:rsidRPr="00AA5098">
        <w:rPr>
          <w:rFonts w:ascii="Times New Roman" w:hAnsi="Times New Roman" w:cs="Times New Roman"/>
          <w:b/>
          <w:bCs/>
          <w:sz w:val="28"/>
          <w:szCs w:val="28"/>
        </w:rPr>
        <w:t xml:space="preserve">De quelle façon les collectivités peuvent s’emparer du sujet, l’inclure dans leur champ de compétences pour prévenir et lutter contre le </w:t>
      </w:r>
      <w:proofErr w:type="spellStart"/>
      <w:r w:rsidRPr="00AA5098">
        <w:rPr>
          <w:rFonts w:ascii="Times New Roman" w:hAnsi="Times New Roman" w:cs="Times New Roman"/>
          <w:b/>
          <w:bCs/>
          <w:sz w:val="28"/>
          <w:szCs w:val="28"/>
        </w:rPr>
        <w:t>cybersexisme</w:t>
      </w:r>
      <w:proofErr w:type="spellEnd"/>
      <w:r w:rsidRPr="00AA5098">
        <w:rPr>
          <w:rFonts w:ascii="Times New Roman" w:hAnsi="Times New Roman" w:cs="Times New Roman"/>
          <w:b/>
          <w:bCs/>
          <w:sz w:val="28"/>
          <w:szCs w:val="28"/>
        </w:rPr>
        <w:t xml:space="preserve"> et les </w:t>
      </w:r>
      <w:proofErr w:type="spellStart"/>
      <w:r w:rsidRPr="00AA5098">
        <w:rPr>
          <w:rFonts w:ascii="Times New Roman" w:hAnsi="Times New Roman" w:cs="Times New Roman"/>
          <w:b/>
          <w:bCs/>
          <w:sz w:val="28"/>
          <w:szCs w:val="28"/>
        </w:rPr>
        <w:t>cyberviolences</w:t>
      </w:r>
      <w:proofErr w:type="spellEnd"/>
      <w:r w:rsidRPr="00AA5098">
        <w:rPr>
          <w:rFonts w:ascii="Times New Roman" w:hAnsi="Times New Roman" w:cs="Times New Roman"/>
          <w:b/>
          <w:bCs/>
          <w:sz w:val="28"/>
          <w:szCs w:val="28"/>
        </w:rPr>
        <w:t xml:space="preserve"> auprès des jeunes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i/>
          <w:iCs/>
          <w:sz w:val="28"/>
          <w:szCs w:val="28"/>
        </w:rPr>
        <w:t xml:space="preserve">SCS : </w:t>
      </w:r>
      <w:r w:rsidRPr="00AA5098">
        <w:rPr>
          <w:rFonts w:ascii="Times New Roman" w:hAnsi="Times New Roman" w:cs="Times New Roman"/>
          <w:sz w:val="28"/>
          <w:szCs w:val="28"/>
        </w:rPr>
        <w:t xml:space="preserve">J’inviterais à garder à l’esprit que la prévention de </w:t>
      </w:r>
      <w:r w:rsidRPr="00AA5098">
        <w:rPr>
          <w:rFonts w:ascii="Times New Roman" w:hAnsi="Times New Roman" w:cs="Times New Roman"/>
          <w:b/>
          <w:bCs/>
          <w:sz w:val="28"/>
          <w:szCs w:val="28"/>
        </w:rPr>
        <w:t>ce phénomène passe par l’éducation et non par l’interdiction</w:t>
      </w:r>
      <w:r w:rsidRPr="00AA5098">
        <w:rPr>
          <w:rFonts w:ascii="Times New Roman" w:hAnsi="Times New Roman" w:cs="Times New Roman"/>
          <w:sz w:val="28"/>
          <w:szCs w:val="28"/>
        </w:rPr>
        <w:t xml:space="preserve">. D’autre part, personne ne peut se prétendre exempt de sexisme ou </w:t>
      </w:r>
      <w:proofErr w:type="spellStart"/>
      <w:r w:rsidRPr="00AA5098">
        <w:rPr>
          <w:rFonts w:ascii="Times New Roman" w:hAnsi="Times New Roman" w:cs="Times New Roman"/>
          <w:sz w:val="28"/>
          <w:szCs w:val="28"/>
        </w:rPr>
        <w:t>cybersexisme</w:t>
      </w:r>
      <w:proofErr w:type="spellEnd"/>
      <w:r w:rsidRPr="00AA5098">
        <w:rPr>
          <w:rFonts w:ascii="Times New Roman" w:hAnsi="Times New Roman" w:cs="Times New Roman"/>
          <w:sz w:val="28"/>
          <w:szCs w:val="28"/>
        </w:rPr>
        <w:t xml:space="preserve">, c’est un fait appartenant au contrôle social collectif : enfants, jeunes, adultes, nous pouvons tour à tour nous trouver dans les rôles de victimes, d’agresseur ou </w:t>
      </w:r>
      <w:proofErr w:type="spellStart"/>
      <w:r w:rsidRPr="00AA5098">
        <w:rPr>
          <w:rFonts w:ascii="Times New Roman" w:hAnsi="Times New Roman" w:cs="Times New Roman"/>
          <w:sz w:val="28"/>
          <w:szCs w:val="28"/>
        </w:rPr>
        <w:t>agresseuse</w:t>
      </w:r>
      <w:proofErr w:type="spellEnd"/>
      <w:r w:rsidRPr="00AA5098">
        <w:rPr>
          <w:rFonts w:ascii="Times New Roman" w:hAnsi="Times New Roman" w:cs="Times New Roman"/>
          <w:sz w:val="28"/>
          <w:szCs w:val="28"/>
        </w:rPr>
        <w:t xml:space="preserve">, de témoin, parfois sans en prendre conscience. La participation de tous et toutes dans les expériences </w:t>
      </w:r>
      <w:proofErr w:type="spellStart"/>
      <w:r w:rsidRPr="00AA5098">
        <w:rPr>
          <w:rFonts w:ascii="Times New Roman" w:hAnsi="Times New Roman" w:cs="Times New Roman"/>
          <w:sz w:val="28"/>
          <w:szCs w:val="28"/>
        </w:rPr>
        <w:t>cybersexistes</w:t>
      </w:r>
      <w:proofErr w:type="spellEnd"/>
      <w:r w:rsidRPr="00AA5098">
        <w:rPr>
          <w:rFonts w:ascii="Times New Roman" w:hAnsi="Times New Roman" w:cs="Times New Roman"/>
          <w:sz w:val="28"/>
          <w:szCs w:val="28"/>
        </w:rPr>
        <w:t xml:space="preserve"> ou de violences à caractère sexiste et sexuel témoigne de l’ampleur d’un phénomène de société insidieux, silencieux, </w:t>
      </w:r>
      <w:proofErr w:type="spellStart"/>
      <w:r w:rsidRPr="00AA5098">
        <w:rPr>
          <w:rFonts w:ascii="Times New Roman" w:hAnsi="Times New Roman" w:cs="Times New Roman"/>
          <w:sz w:val="28"/>
          <w:szCs w:val="28"/>
        </w:rPr>
        <w:t>invisibilisé</w:t>
      </w:r>
      <w:proofErr w:type="spellEnd"/>
      <w:r w:rsidRPr="00AA5098">
        <w:rPr>
          <w:rFonts w:ascii="Times New Roman" w:hAnsi="Times New Roman" w:cs="Times New Roman"/>
          <w:sz w:val="28"/>
          <w:szCs w:val="28"/>
        </w:rPr>
        <w:t xml:space="preserve"> par les codes sociaux.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Sa prévention nous pose un autre problème pour sa prise en charge : celle de l’accès à ce type d’informations. En effet, dans notre étude </w:t>
      </w:r>
      <w:r w:rsidRPr="00AA5098">
        <w:rPr>
          <w:rFonts w:ascii="Times New Roman" w:hAnsi="Times New Roman" w:cs="Times New Roman"/>
          <w:b/>
          <w:bCs/>
          <w:sz w:val="28"/>
          <w:szCs w:val="28"/>
        </w:rPr>
        <w:t>1 élève sur 4 rapporte qu’il ou elle ne sollicitera l’aide d’</w:t>
      </w:r>
      <w:proofErr w:type="spellStart"/>
      <w:r w:rsidRPr="00AA5098">
        <w:rPr>
          <w:rFonts w:ascii="Times New Roman" w:hAnsi="Times New Roman" w:cs="Times New Roman"/>
          <w:b/>
          <w:bCs/>
          <w:sz w:val="28"/>
          <w:szCs w:val="28"/>
        </w:rPr>
        <w:t>aucun·e</w:t>
      </w:r>
      <w:proofErr w:type="spellEnd"/>
      <w:r w:rsidRPr="00AA5098">
        <w:rPr>
          <w:rFonts w:ascii="Times New Roman" w:hAnsi="Times New Roman" w:cs="Times New Roman"/>
          <w:b/>
          <w:bCs/>
          <w:sz w:val="28"/>
          <w:szCs w:val="28"/>
        </w:rPr>
        <w:t xml:space="preserve"> adulte (famille, école ou autre). </w:t>
      </w:r>
      <w:r w:rsidRPr="00AA5098">
        <w:rPr>
          <w:rFonts w:ascii="Times New Roman" w:hAnsi="Times New Roman" w:cs="Times New Roman"/>
          <w:sz w:val="28"/>
          <w:szCs w:val="28"/>
        </w:rPr>
        <w:t xml:space="preserve">Dans le même temps, certains faits déclarés par les victimes sont perçus par les adultes comme secondaires, mineurs, dès lors indignes d’une prise en charge. D’un autre côté, </w:t>
      </w:r>
      <w:proofErr w:type="spellStart"/>
      <w:r w:rsidRPr="00AA5098">
        <w:rPr>
          <w:rFonts w:ascii="Times New Roman" w:hAnsi="Times New Roman" w:cs="Times New Roman"/>
          <w:sz w:val="28"/>
          <w:szCs w:val="28"/>
        </w:rPr>
        <w:t>certain·es</w:t>
      </w:r>
      <w:proofErr w:type="spellEnd"/>
      <w:r w:rsidRPr="00AA5098">
        <w:rPr>
          <w:rFonts w:ascii="Times New Roman" w:hAnsi="Times New Roman" w:cs="Times New Roman"/>
          <w:sz w:val="28"/>
          <w:szCs w:val="28"/>
        </w:rPr>
        <w:t xml:space="preserve"> élèves auraient </w:t>
      </w:r>
      <w:proofErr w:type="spellStart"/>
      <w:r w:rsidRPr="00AA5098">
        <w:rPr>
          <w:rFonts w:ascii="Times New Roman" w:hAnsi="Times New Roman" w:cs="Times New Roman"/>
          <w:sz w:val="28"/>
          <w:szCs w:val="28"/>
        </w:rPr>
        <w:t>aimé·e</w:t>
      </w:r>
      <w:proofErr w:type="spellEnd"/>
      <w:r w:rsidRPr="00AA5098">
        <w:rPr>
          <w:rFonts w:ascii="Times New Roman" w:hAnsi="Times New Roman" w:cs="Times New Roman"/>
          <w:sz w:val="28"/>
          <w:szCs w:val="28"/>
        </w:rPr>
        <w:t xml:space="preserve"> en parler à </w:t>
      </w:r>
      <w:proofErr w:type="spellStart"/>
      <w:r w:rsidRPr="00AA5098">
        <w:rPr>
          <w:rFonts w:ascii="Times New Roman" w:hAnsi="Times New Roman" w:cs="Times New Roman"/>
          <w:sz w:val="28"/>
          <w:szCs w:val="28"/>
        </w:rPr>
        <w:t>quelqu’un·e</w:t>
      </w:r>
      <w:proofErr w:type="spellEnd"/>
      <w:r w:rsidRPr="00AA5098">
        <w:rPr>
          <w:rFonts w:ascii="Times New Roman" w:hAnsi="Times New Roman" w:cs="Times New Roman"/>
          <w:sz w:val="28"/>
          <w:szCs w:val="28"/>
        </w:rPr>
        <w:t xml:space="preserve"> </w:t>
      </w:r>
      <w:r w:rsidRPr="00AA5098">
        <w:rPr>
          <w:rFonts w:ascii="Times New Roman" w:hAnsi="Times New Roman" w:cs="Times New Roman"/>
          <w:b/>
          <w:bCs/>
          <w:sz w:val="28"/>
          <w:szCs w:val="28"/>
        </w:rPr>
        <w:t>mais ils ou elles ne savent ni vers qui se tourner ni comment agir</w:t>
      </w:r>
      <w:r w:rsidRPr="00AA5098">
        <w:rPr>
          <w:rFonts w:ascii="Times New Roman" w:hAnsi="Times New Roman" w:cs="Times New Roman"/>
          <w:sz w:val="28"/>
          <w:szCs w:val="28"/>
        </w:rPr>
        <w:t xml:space="preserve"> (par exemple, sur les plateformes en ligne).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drawing>
          <wp:inline distT="0" distB="0" distL="0" distR="0">
            <wp:extent cx="4114800" cy="1333500"/>
            <wp:effectExtent l="0" t="0" r="0" b="0"/>
            <wp:docPr id="1" name="Image 1" descr="infographie 5 itw experte lettre hubertine 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graphie 5 itw experte lettre hubertine N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1333500"/>
                    </a:xfrm>
                    <a:prstGeom prst="rect">
                      <a:avLst/>
                    </a:prstGeom>
                    <a:noFill/>
                    <a:ln>
                      <a:noFill/>
                    </a:ln>
                  </pic:spPr>
                </pic:pic>
              </a:graphicData>
            </a:graphic>
          </wp:inline>
        </w:drawing>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Il est important de résister à la culpabilisation de la victime quant à sa tenue ou à son comportement. C'est elle qui a subi la domination et le déni de soi, de son accord, de son consentement. Les faits, quels qu'ils soient, qui lui sont imposés provoquent un effet de sidération. Pour pouvoir accueillir la parole des victimes il faut accepter de faire un pas de </w:t>
      </w:r>
      <w:r w:rsidRPr="00AA5098">
        <w:rPr>
          <w:rFonts w:ascii="Times New Roman" w:hAnsi="Times New Roman" w:cs="Times New Roman"/>
          <w:sz w:val="28"/>
          <w:szCs w:val="28"/>
        </w:rPr>
        <w:lastRenderedPageBreak/>
        <w:t>côté par rapport aux normes sociales. Le comportement répréhensible est celui de la personne qui commet l'agression, pas celui de la personne qui la subit.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b/>
          <w:bCs/>
          <w:sz w:val="28"/>
          <w:szCs w:val="28"/>
        </w:rPr>
        <w:t>Si la prévention peut se mettre en place, elle peut utilement aborder les questions de normes sociales de genre, de domination et de contrôle dans les situations sociales, la question des sexualités. Mais, il serait vain de dispenser des « savoirs » ou des « bonnes pratiques ».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C’est dans l’instant, dans les situations d’interaction (avec ou sans portable) qu’il faut apprendre à réagir, à dialoguer, à se protéger, à réguler. À mon sens, cela s’apprend par l’interaction (jeux, histoires interactives, théâtre, retour sur les situations). »</w:t>
      </w:r>
    </w:p>
    <w:p w:rsidR="00AA5098" w:rsidRPr="00AA5098" w:rsidRDefault="00AA5098" w:rsidP="00AA5098">
      <w:pPr>
        <w:spacing w:after="0"/>
        <w:rPr>
          <w:rFonts w:ascii="Times New Roman" w:hAnsi="Times New Roman" w:cs="Times New Roman"/>
          <w:sz w:val="28"/>
          <w:szCs w:val="28"/>
        </w:rPr>
      </w:pPr>
      <w:r w:rsidRPr="00AA5098">
        <w:rPr>
          <w:rFonts w:ascii="Times New Roman" w:hAnsi="Times New Roman" w:cs="Times New Roman"/>
          <w:sz w:val="28"/>
          <w:szCs w:val="28"/>
        </w:rPr>
        <w:t xml:space="preserve">Au cours de notre étude, les jeunes ont pleinement participé aux discussions, nous ont </w:t>
      </w:r>
      <w:proofErr w:type="gramStart"/>
      <w:r w:rsidRPr="00AA5098">
        <w:rPr>
          <w:rFonts w:ascii="Times New Roman" w:hAnsi="Times New Roman" w:cs="Times New Roman"/>
          <w:sz w:val="28"/>
          <w:szCs w:val="28"/>
        </w:rPr>
        <w:t>remercié</w:t>
      </w:r>
      <w:proofErr w:type="gramEnd"/>
      <w:r w:rsidRPr="00AA5098">
        <w:rPr>
          <w:rFonts w:ascii="Times New Roman" w:hAnsi="Times New Roman" w:cs="Times New Roman"/>
          <w:sz w:val="28"/>
          <w:szCs w:val="28"/>
        </w:rPr>
        <w:t xml:space="preserve"> de les écouter sur ces sujets qui font leur quotidien. Il est indispensable d'ouvrir la discussion avec elles et eux mais il faut se demander comment le dialogue peut s'installer. Une piste pourrait être d'ouvrir des groupes de discussion adultes/jeunes, parents/enfants, ainsi tous partiraient d'une même expérience avant d’y confronter leurs points de vue.</w:t>
      </w:r>
    </w:p>
    <w:p w:rsidR="00AA5098" w:rsidRPr="00AA5098" w:rsidRDefault="00AA5098" w:rsidP="00AA5098">
      <w:pPr>
        <w:spacing w:after="0"/>
        <w:rPr>
          <w:rFonts w:ascii="Times New Roman" w:hAnsi="Times New Roman" w:cs="Times New Roman"/>
          <w:sz w:val="28"/>
          <w:szCs w:val="28"/>
        </w:rPr>
      </w:pPr>
    </w:p>
    <w:sectPr w:rsidR="00AA5098" w:rsidRPr="00AA5098" w:rsidSect="00AA509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A91" w:rsidRDefault="000B6A91" w:rsidP="00AA5098">
      <w:pPr>
        <w:spacing w:after="0" w:line="240" w:lineRule="auto"/>
      </w:pPr>
      <w:r>
        <w:separator/>
      </w:r>
    </w:p>
  </w:endnote>
  <w:endnote w:type="continuationSeparator" w:id="0">
    <w:p w:rsidR="000B6A91" w:rsidRDefault="000B6A91" w:rsidP="00AA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A91" w:rsidRDefault="000B6A91" w:rsidP="00AA5098">
      <w:pPr>
        <w:spacing w:after="0" w:line="240" w:lineRule="auto"/>
      </w:pPr>
      <w:r>
        <w:separator/>
      </w:r>
    </w:p>
  </w:footnote>
  <w:footnote w:type="continuationSeparator" w:id="0">
    <w:p w:rsidR="000B6A91" w:rsidRDefault="000B6A91" w:rsidP="00AA5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144F9"/>
    <w:multiLevelType w:val="multilevel"/>
    <w:tmpl w:val="6FD0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98"/>
    <w:rsid w:val="000B6A91"/>
    <w:rsid w:val="00143997"/>
    <w:rsid w:val="00AA5098"/>
    <w:rsid w:val="00E11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2B679-C7EE-483C-9940-C50CE89C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5098"/>
    <w:rPr>
      <w:color w:val="0563C1" w:themeColor="hyperlink"/>
      <w:u w:val="single"/>
    </w:rPr>
  </w:style>
  <w:style w:type="paragraph" w:styleId="En-tte">
    <w:name w:val="header"/>
    <w:basedOn w:val="Normal"/>
    <w:link w:val="En-tteCar"/>
    <w:uiPriority w:val="99"/>
    <w:unhideWhenUsed/>
    <w:rsid w:val="00AA5098"/>
    <w:pPr>
      <w:tabs>
        <w:tab w:val="center" w:pos="4536"/>
        <w:tab w:val="right" w:pos="9072"/>
      </w:tabs>
      <w:spacing w:after="0" w:line="240" w:lineRule="auto"/>
    </w:pPr>
  </w:style>
  <w:style w:type="character" w:customStyle="1" w:styleId="En-tteCar">
    <w:name w:val="En-tête Car"/>
    <w:basedOn w:val="Policepardfaut"/>
    <w:link w:val="En-tte"/>
    <w:uiPriority w:val="99"/>
    <w:rsid w:val="00AA5098"/>
  </w:style>
  <w:style w:type="paragraph" w:styleId="Pieddepage">
    <w:name w:val="footer"/>
    <w:basedOn w:val="Normal"/>
    <w:link w:val="PieddepageCar"/>
    <w:uiPriority w:val="99"/>
    <w:unhideWhenUsed/>
    <w:rsid w:val="00AA50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555553">
      <w:bodyDiv w:val="1"/>
      <w:marLeft w:val="0"/>
      <w:marRight w:val="0"/>
      <w:marTop w:val="0"/>
      <w:marBottom w:val="0"/>
      <w:divBdr>
        <w:top w:val="none" w:sz="0" w:space="0" w:color="auto"/>
        <w:left w:val="none" w:sz="0" w:space="0" w:color="auto"/>
        <w:bottom w:val="none" w:sz="0" w:space="0" w:color="auto"/>
        <w:right w:val="none" w:sz="0" w:space="0" w:color="auto"/>
      </w:divBdr>
      <w:divsChild>
        <w:div w:id="457455071">
          <w:marLeft w:val="0"/>
          <w:marRight w:val="0"/>
          <w:marTop w:val="0"/>
          <w:marBottom w:val="0"/>
          <w:divBdr>
            <w:top w:val="none" w:sz="0" w:space="0" w:color="auto"/>
            <w:left w:val="none" w:sz="0" w:space="0" w:color="auto"/>
            <w:bottom w:val="none" w:sz="0" w:space="0" w:color="auto"/>
            <w:right w:val="none" w:sz="0" w:space="0" w:color="auto"/>
          </w:divBdr>
        </w:div>
        <w:div w:id="1891502931">
          <w:marLeft w:val="0"/>
          <w:marRight w:val="0"/>
          <w:marTop w:val="0"/>
          <w:marBottom w:val="0"/>
          <w:divBdr>
            <w:top w:val="none" w:sz="0" w:space="0" w:color="auto"/>
            <w:left w:val="none" w:sz="0" w:space="0" w:color="auto"/>
            <w:bottom w:val="none" w:sz="0" w:space="0" w:color="auto"/>
            <w:right w:val="none" w:sz="0" w:space="0" w:color="auto"/>
          </w:divBdr>
          <w:divsChild>
            <w:div w:id="1230849311">
              <w:marLeft w:val="0"/>
              <w:marRight w:val="0"/>
              <w:marTop w:val="0"/>
              <w:marBottom w:val="0"/>
              <w:divBdr>
                <w:top w:val="none" w:sz="0" w:space="0" w:color="auto"/>
                <w:left w:val="none" w:sz="0" w:space="0" w:color="auto"/>
                <w:bottom w:val="none" w:sz="0" w:space="0" w:color="auto"/>
                <w:right w:val="none" w:sz="0" w:space="0" w:color="auto"/>
              </w:divBdr>
              <w:divsChild>
                <w:div w:id="854616904">
                  <w:marLeft w:val="0"/>
                  <w:marRight w:val="0"/>
                  <w:marTop w:val="0"/>
                  <w:marBottom w:val="0"/>
                  <w:divBdr>
                    <w:top w:val="none" w:sz="0" w:space="0" w:color="auto"/>
                    <w:left w:val="none" w:sz="0" w:space="0" w:color="auto"/>
                    <w:bottom w:val="none" w:sz="0" w:space="0" w:color="auto"/>
                    <w:right w:val="none" w:sz="0" w:space="0" w:color="auto"/>
                  </w:divBdr>
                  <w:divsChild>
                    <w:div w:id="489488799">
                      <w:marLeft w:val="0"/>
                      <w:marRight w:val="0"/>
                      <w:marTop w:val="0"/>
                      <w:marBottom w:val="0"/>
                      <w:divBdr>
                        <w:top w:val="none" w:sz="0" w:space="0" w:color="auto"/>
                        <w:left w:val="none" w:sz="0" w:space="0" w:color="auto"/>
                        <w:bottom w:val="none" w:sz="0" w:space="0" w:color="auto"/>
                        <w:right w:val="none" w:sz="0" w:space="0" w:color="auto"/>
                      </w:divBdr>
                      <w:divsChild>
                        <w:div w:id="1458179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127192">
              <w:marLeft w:val="0"/>
              <w:marRight w:val="0"/>
              <w:marTop w:val="0"/>
              <w:marBottom w:val="0"/>
              <w:divBdr>
                <w:top w:val="none" w:sz="0" w:space="0" w:color="auto"/>
                <w:left w:val="none" w:sz="0" w:space="0" w:color="auto"/>
                <w:bottom w:val="none" w:sz="0" w:space="0" w:color="auto"/>
                <w:right w:val="none" w:sz="0" w:space="0" w:color="auto"/>
              </w:divBdr>
              <w:divsChild>
                <w:div w:id="842663728">
                  <w:marLeft w:val="0"/>
                  <w:marRight w:val="0"/>
                  <w:marTop w:val="0"/>
                  <w:marBottom w:val="0"/>
                  <w:divBdr>
                    <w:top w:val="none" w:sz="0" w:space="0" w:color="auto"/>
                    <w:left w:val="none" w:sz="0" w:space="0" w:color="auto"/>
                    <w:bottom w:val="none" w:sz="0" w:space="0" w:color="auto"/>
                    <w:right w:val="none" w:sz="0" w:space="0" w:color="auto"/>
                  </w:divBdr>
                  <w:divsChild>
                    <w:div w:id="451095816">
                      <w:marLeft w:val="0"/>
                      <w:marRight w:val="0"/>
                      <w:marTop w:val="0"/>
                      <w:marBottom w:val="0"/>
                      <w:divBdr>
                        <w:top w:val="none" w:sz="0" w:space="0" w:color="auto"/>
                        <w:left w:val="none" w:sz="0" w:space="0" w:color="auto"/>
                        <w:bottom w:val="none" w:sz="0" w:space="0" w:color="auto"/>
                        <w:right w:val="none" w:sz="0" w:space="0" w:color="auto"/>
                      </w:divBdr>
                      <w:divsChild>
                        <w:div w:id="1663125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05839524">
              <w:marLeft w:val="0"/>
              <w:marRight w:val="0"/>
              <w:marTop w:val="0"/>
              <w:marBottom w:val="0"/>
              <w:divBdr>
                <w:top w:val="none" w:sz="0" w:space="0" w:color="auto"/>
                <w:left w:val="none" w:sz="0" w:space="0" w:color="auto"/>
                <w:bottom w:val="none" w:sz="0" w:space="0" w:color="auto"/>
                <w:right w:val="none" w:sz="0" w:space="0" w:color="auto"/>
              </w:divBdr>
              <w:divsChild>
                <w:div w:id="2104253855">
                  <w:marLeft w:val="0"/>
                  <w:marRight w:val="0"/>
                  <w:marTop w:val="0"/>
                  <w:marBottom w:val="0"/>
                  <w:divBdr>
                    <w:top w:val="none" w:sz="0" w:space="0" w:color="auto"/>
                    <w:left w:val="none" w:sz="0" w:space="0" w:color="auto"/>
                    <w:bottom w:val="none" w:sz="0" w:space="0" w:color="auto"/>
                    <w:right w:val="none" w:sz="0" w:space="0" w:color="auto"/>
                  </w:divBdr>
                  <w:divsChild>
                    <w:div w:id="1727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0975">
              <w:marLeft w:val="0"/>
              <w:marRight w:val="0"/>
              <w:marTop w:val="0"/>
              <w:marBottom w:val="0"/>
              <w:divBdr>
                <w:top w:val="none" w:sz="0" w:space="0" w:color="auto"/>
                <w:left w:val="none" w:sz="0" w:space="0" w:color="auto"/>
                <w:bottom w:val="none" w:sz="0" w:space="0" w:color="auto"/>
                <w:right w:val="none" w:sz="0" w:space="0" w:color="auto"/>
              </w:divBdr>
              <w:divsChild>
                <w:div w:id="446311708">
                  <w:marLeft w:val="0"/>
                  <w:marRight w:val="0"/>
                  <w:marTop w:val="0"/>
                  <w:marBottom w:val="0"/>
                  <w:divBdr>
                    <w:top w:val="none" w:sz="0" w:space="0" w:color="auto"/>
                    <w:left w:val="none" w:sz="0" w:space="0" w:color="auto"/>
                    <w:bottom w:val="none" w:sz="0" w:space="0" w:color="auto"/>
                    <w:right w:val="none" w:sz="0" w:space="0" w:color="auto"/>
                  </w:divBdr>
                  <w:divsChild>
                    <w:div w:id="1738085575">
                      <w:marLeft w:val="0"/>
                      <w:marRight w:val="0"/>
                      <w:marTop w:val="0"/>
                      <w:marBottom w:val="0"/>
                      <w:divBdr>
                        <w:top w:val="none" w:sz="0" w:space="0" w:color="auto"/>
                        <w:left w:val="none" w:sz="0" w:space="0" w:color="auto"/>
                        <w:bottom w:val="none" w:sz="0" w:space="0" w:color="auto"/>
                        <w:right w:val="none" w:sz="0" w:space="0" w:color="auto"/>
                      </w:divBdr>
                      <w:divsChild>
                        <w:div w:id="92854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entre-hubertine-auclert.fr/sites/default/files/fichiers/etude-cybersexisme-web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8792</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1</cp:revision>
  <dcterms:created xsi:type="dcterms:W3CDTF">2025-10-18T13:45:00Z</dcterms:created>
  <dcterms:modified xsi:type="dcterms:W3CDTF">2025-10-18T13:46:00Z</dcterms:modified>
</cp:coreProperties>
</file>