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29B" w:rsidRPr="000A2E1D" w:rsidRDefault="0049629B" w:rsidP="0049629B">
      <w:pPr>
        <w:rPr>
          <w:b/>
          <w:bCs/>
          <w:color w:val="FF0000"/>
          <w:sz w:val="52"/>
          <w:u w:val="single"/>
        </w:rPr>
      </w:pPr>
      <w:r w:rsidRPr="000A2E1D">
        <w:rPr>
          <w:b/>
          <w:bCs/>
          <w:color w:val="FF0000"/>
          <w:sz w:val="52"/>
          <w:u w:val="single"/>
        </w:rPr>
        <w:t xml:space="preserve">III. La réaction immunitaire adaptative à </w:t>
      </w:r>
      <w:r w:rsidRPr="000A2E1D">
        <w:rPr>
          <w:b/>
          <w:bCs/>
          <w:color w:val="FF0000"/>
          <w:sz w:val="52"/>
          <w:highlight w:val="yellow"/>
          <w:u w:val="single"/>
        </w:rPr>
        <w:t>médiation cellulaire :</w:t>
      </w:r>
    </w:p>
    <w:p w:rsidR="0049629B" w:rsidRPr="00EA7FB1" w:rsidRDefault="0049629B" w:rsidP="0049629B">
      <w:pPr>
        <w:numPr>
          <w:ilvl w:val="0"/>
          <w:numId w:val="1"/>
        </w:numPr>
        <w:rPr>
          <w:color w:val="0070C0"/>
          <w:sz w:val="44"/>
        </w:rPr>
      </w:pPr>
      <w:bookmarkStart w:id="0" w:name="_Hlk94515751"/>
      <w:r w:rsidRPr="000A2E1D">
        <w:rPr>
          <w:color w:val="0070C0"/>
          <w:sz w:val="44"/>
        </w:rPr>
        <w:t xml:space="preserve">Dans la réponse immunitaire adaptative, nous avons évoqué </w:t>
      </w:r>
      <w:r w:rsidRPr="000A2E1D">
        <w:rPr>
          <w:b/>
          <w:bCs/>
          <w:color w:val="0070C0"/>
          <w:sz w:val="44"/>
          <w:u w:val="single"/>
        </w:rPr>
        <w:t xml:space="preserve">la réponse immunitaire à médiation cellulaire, </w:t>
      </w:r>
      <w:r w:rsidRPr="000A2E1D">
        <w:rPr>
          <w:b/>
          <w:bCs/>
          <w:color w:val="0070C0"/>
          <w:sz w:val="44"/>
          <w:highlight w:val="yellow"/>
          <w:u w:val="single"/>
        </w:rPr>
        <w:t>Les lymphocytes T.</w:t>
      </w:r>
    </w:p>
    <w:p w:rsidR="0049629B" w:rsidRPr="000A2E1D" w:rsidRDefault="0049629B" w:rsidP="0049629B">
      <w:pPr>
        <w:numPr>
          <w:ilvl w:val="0"/>
          <w:numId w:val="1"/>
        </w:numPr>
        <w:rPr>
          <w:color w:val="0070C0"/>
          <w:sz w:val="44"/>
        </w:rPr>
      </w:pPr>
    </w:p>
    <w:p w:rsidR="0049629B" w:rsidRPr="007C3565" w:rsidRDefault="0049629B" w:rsidP="0049629B">
      <w:pPr>
        <w:rPr>
          <w:color w:val="FF0000"/>
          <w:sz w:val="36"/>
        </w:rPr>
      </w:pPr>
      <w:r>
        <w:rPr>
          <w:b/>
          <w:bCs/>
          <w:color w:val="FF0000"/>
          <w:sz w:val="36"/>
        </w:rPr>
        <w:t xml:space="preserve">Cette immunité à médiation cellulaire </w:t>
      </w:r>
      <w:r w:rsidRPr="007C3565">
        <w:rPr>
          <w:b/>
          <w:bCs/>
          <w:color w:val="FF0000"/>
          <w:sz w:val="36"/>
        </w:rPr>
        <w:t xml:space="preserve">fait intervenir </w:t>
      </w:r>
      <w:r w:rsidRPr="00C67B04">
        <w:rPr>
          <w:b/>
          <w:bCs/>
          <w:color w:val="FF0000"/>
          <w:sz w:val="36"/>
          <w:highlight w:val="yellow"/>
        </w:rPr>
        <w:t>les lymphocytes T</w:t>
      </w:r>
      <w:r w:rsidRPr="007C3565">
        <w:rPr>
          <w:color w:val="FF0000"/>
          <w:sz w:val="36"/>
        </w:rPr>
        <w:t xml:space="preserve"> qui portent à leur surface des molécules qui sont des récepteurs spécifiques à un type d’antigène : </w:t>
      </w:r>
      <w:r w:rsidRPr="00C67B04">
        <w:rPr>
          <w:b/>
          <w:bCs/>
          <w:color w:val="FF0000"/>
          <w:sz w:val="36"/>
          <w:highlight w:val="yellow"/>
        </w:rPr>
        <w:t>les récepteurs T ou TCR.</w:t>
      </w:r>
    </w:p>
    <w:p w:rsidR="0049629B" w:rsidRPr="007C3565" w:rsidRDefault="0049629B" w:rsidP="0049629B">
      <w:pPr>
        <w:rPr>
          <w:color w:val="FF0000"/>
          <w:sz w:val="36"/>
        </w:rPr>
      </w:pPr>
      <w:r w:rsidRPr="007C3565">
        <w:rPr>
          <w:color w:val="FF0000"/>
          <w:sz w:val="36"/>
        </w:rPr>
        <w:t xml:space="preserve">-soit des CD4 pour </w:t>
      </w:r>
      <w:r w:rsidRPr="007C3565">
        <w:rPr>
          <w:color w:val="FF0000"/>
          <w:sz w:val="36"/>
          <w:highlight w:val="yellow"/>
        </w:rPr>
        <w:t>les lymphocytes T4,</w:t>
      </w:r>
    </w:p>
    <w:p w:rsidR="0049629B" w:rsidRPr="007C3565" w:rsidRDefault="0049629B" w:rsidP="0049629B">
      <w:pPr>
        <w:rPr>
          <w:color w:val="FF0000"/>
          <w:sz w:val="36"/>
        </w:rPr>
      </w:pPr>
      <w:r w:rsidRPr="007C3565">
        <w:rPr>
          <w:color w:val="FF0000"/>
          <w:sz w:val="36"/>
        </w:rPr>
        <w:t xml:space="preserve">-soit des CD8 pour </w:t>
      </w:r>
      <w:r w:rsidRPr="007C3565">
        <w:rPr>
          <w:color w:val="FF0000"/>
          <w:sz w:val="36"/>
          <w:highlight w:val="yellow"/>
        </w:rPr>
        <w:t>les lymphocytes T8.</w:t>
      </w:r>
    </w:p>
    <w:p w:rsidR="0049629B" w:rsidRPr="00C67B04" w:rsidRDefault="0049629B" w:rsidP="0049629B">
      <w:pPr>
        <w:rPr>
          <w:b/>
          <w:color w:val="FF0000"/>
          <w:sz w:val="36"/>
          <w:u w:val="single"/>
        </w:rPr>
      </w:pPr>
      <w:r w:rsidRPr="00C67B04">
        <w:rPr>
          <w:b/>
          <w:color w:val="FF0000"/>
          <w:sz w:val="36"/>
          <w:u w:val="single"/>
        </w:rPr>
        <w:t xml:space="preserve">1-Les lymphocytes T4 : les 1ers acteurs de la réponse immunitaire </w:t>
      </w:r>
    </w:p>
    <w:p w:rsidR="0049629B" w:rsidRPr="00C67B04" w:rsidRDefault="0049629B" w:rsidP="0049629B">
      <w:pPr>
        <w:numPr>
          <w:ilvl w:val="0"/>
          <w:numId w:val="2"/>
        </w:numPr>
        <w:rPr>
          <w:color w:val="FF0000"/>
        </w:rPr>
      </w:pPr>
      <w:r w:rsidRPr="00C67B04">
        <w:rPr>
          <w:b/>
          <w:color w:val="FF0000"/>
          <w:sz w:val="36"/>
          <w:szCs w:val="32"/>
        </w:rPr>
        <w:t xml:space="preserve">La reconnaissance de l’antigène par le LT4 provoque la </w:t>
      </w:r>
      <w:r w:rsidRPr="00C67B04">
        <w:rPr>
          <w:b/>
          <w:color w:val="FF0000"/>
          <w:sz w:val="36"/>
          <w:szCs w:val="32"/>
          <w:highlight w:val="yellow"/>
        </w:rPr>
        <w:t>multiplication de LT4</w:t>
      </w:r>
      <w:r w:rsidRPr="00C67B04">
        <w:rPr>
          <w:b/>
          <w:color w:val="FF0000"/>
          <w:sz w:val="36"/>
          <w:szCs w:val="32"/>
        </w:rPr>
        <w:t xml:space="preserve">, formant un clone de même spécificité et son activation, d’où le LT4 sécrète des médiateurs chimiques : </w:t>
      </w:r>
      <w:r w:rsidRPr="00C67B04">
        <w:rPr>
          <w:b/>
          <w:color w:val="FF0000"/>
          <w:sz w:val="36"/>
          <w:szCs w:val="32"/>
          <w:highlight w:val="yellow"/>
        </w:rPr>
        <w:t>interleukines 2 (IL2)</w:t>
      </w:r>
      <w:r w:rsidRPr="00C67B04">
        <w:rPr>
          <w:b/>
          <w:color w:val="FF0000"/>
          <w:sz w:val="36"/>
          <w:szCs w:val="32"/>
        </w:rPr>
        <w:t xml:space="preserve"> qui activent les pré-LT8 et Les pré-LB. Ce lymphocyte sécréteur IL2 est alors appelé </w:t>
      </w:r>
      <w:r w:rsidRPr="00C67B04">
        <w:rPr>
          <w:b/>
          <w:bCs/>
          <w:color w:val="FF0000"/>
          <w:sz w:val="36"/>
          <w:szCs w:val="32"/>
        </w:rPr>
        <w:t>lymphocyte T auxiliaire</w:t>
      </w:r>
      <w:r>
        <w:rPr>
          <w:b/>
          <w:bCs/>
          <w:color w:val="FF0000"/>
          <w:sz w:val="36"/>
          <w:szCs w:val="32"/>
        </w:rPr>
        <w:t>.</w:t>
      </w:r>
    </w:p>
    <w:p w:rsidR="0049629B" w:rsidRPr="00767A1E" w:rsidRDefault="0049629B" w:rsidP="0049629B">
      <w:pPr>
        <w:numPr>
          <w:ilvl w:val="0"/>
          <w:numId w:val="2"/>
        </w:numPr>
        <w:rPr>
          <w:b/>
          <w:color w:val="FF0000"/>
          <w:sz w:val="28"/>
        </w:rPr>
      </w:pPr>
      <w:r w:rsidRPr="00C67B04">
        <w:rPr>
          <w:b/>
          <w:color w:val="FF0000"/>
          <w:sz w:val="36"/>
        </w:rPr>
        <w:t xml:space="preserve"> Ces </w:t>
      </w:r>
      <w:r w:rsidRPr="00C67B04">
        <w:rPr>
          <w:b/>
          <w:bCs/>
          <w:color w:val="FF0000"/>
          <w:sz w:val="36"/>
        </w:rPr>
        <w:t>interleukines vont stimuler la multiplication des LB et des LT8</w:t>
      </w:r>
      <w:r w:rsidRPr="00C67B04">
        <w:rPr>
          <w:b/>
          <w:color w:val="FF0000"/>
          <w:sz w:val="36"/>
        </w:rPr>
        <w:t xml:space="preserve"> sélectionnés et activés, et permettent la multiplication clonale </w:t>
      </w:r>
      <w:proofErr w:type="gramStart"/>
      <w:r w:rsidRPr="00C67B04">
        <w:rPr>
          <w:b/>
          <w:color w:val="FF0000"/>
          <w:sz w:val="36"/>
        </w:rPr>
        <w:t>( x</w:t>
      </w:r>
      <w:proofErr w:type="gramEnd"/>
      <w:r w:rsidRPr="00C67B04">
        <w:rPr>
          <w:b/>
          <w:color w:val="FF0000"/>
          <w:sz w:val="36"/>
        </w:rPr>
        <w:t xml:space="preserve"> 5000) , la différenciation des effecteurs ( AC anti -ag et LTC). </w:t>
      </w:r>
      <w:r w:rsidRPr="00C67B04">
        <w:rPr>
          <w:b/>
          <w:color w:val="FF0000"/>
          <w:sz w:val="36"/>
          <w:highlight w:val="yellow"/>
        </w:rPr>
        <w:t>C’est l’amplification clonale.</w:t>
      </w:r>
      <w:r w:rsidRPr="00767A1E">
        <w:rPr>
          <w:color w:val="FF0000"/>
        </w:rPr>
        <w:t xml:space="preserve"> </w:t>
      </w:r>
    </w:p>
    <w:p w:rsidR="0049629B" w:rsidRPr="00767A1E" w:rsidRDefault="0049629B" w:rsidP="0049629B">
      <w:pPr>
        <w:ind w:left="720"/>
        <w:rPr>
          <w:b/>
          <w:color w:val="FF0000"/>
          <w:sz w:val="32"/>
        </w:rPr>
      </w:pPr>
      <w:r w:rsidRPr="00767A1E">
        <w:rPr>
          <w:b/>
          <w:color w:val="FF0000"/>
          <w:sz w:val="32"/>
        </w:rPr>
        <w:t xml:space="preserve">Rappel : un lymphocyte B ou T8 ne peut donc se multiplier et se différencier que s’il s’est fixé à son Ag </w:t>
      </w:r>
      <w:r w:rsidRPr="00767A1E">
        <w:rPr>
          <w:b/>
          <w:bCs/>
          <w:color w:val="FF0000"/>
          <w:sz w:val="32"/>
          <w:highlight w:val="yellow"/>
        </w:rPr>
        <w:t>ET</w:t>
      </w:r>
      <w:r w:rsidRPr="00767A1E">
        <w:rPr>
          <w:b/>
          <w:color w:val="FF0000"/>
          <w:sz w:val="32"/>
        </w:rPr>
        <w:t xml:space="preserve"> s’il </w:t>
      </w:r>
      <w:r w:rsidRPr="00767A1E">
        <w:rPr>
          <w:b/>
          <w:color w:val="FF0000"/>
          <w:sz w:val="32"/>
          <w:highlight w:val="yellow"/>
        </w:rPr>
        <w:t>est activé par IL2.</w:t>
      </w:r>
    </w:p>
    <w:p w:rsidR="0049629B" w:rsidRPr="00767A1E" w:rsidRDefault="0049629B" w:rsidP="0049629B">
      <w:pPr>
        <w:rPr>
          <w:b/>
          <w:color w:val="FF0000"/>
          <w:sz w:val="32"/>
        </w:rPr>
      </w:pPr>
      <w:r w:rsidRPr="00767A1E">
        <w:rPr>
          <w:b/>
          <w:color w:val="FF0000"/>
          <w:sz w:val="32"/>
        </w:rPr>
        <w:lastRenderedPageBreak/>
        <w:t xml:space="preserve">D’autre part : une partie des LT4 n’est pas détruite à la fin de la réaction et est conservée pendant des années : on les appelle des LT mémoire. </w:t>
      </w:r>
    </w:p>
    <w:p w:rsidR="0049629B" w:rsidRDefault="0049629B" w:rsidP="0049629B">
      <w:pPr>
        <w:rPr>
          <w:b/>
          <w:color w:val="FF0000"/>
          <w:sz w:val="32"/>
          <w:szCs w:val="32"/>
          <w:highlight w:val="yellow"/>
        </w:rPr>
      </w:pPr>
      <w:r w:rsidRPr="00767A1E">
        <w:rPr>
          <w:b/>
          <w:color w:val="FF0000"/>
          <w:sz w:val="32"/>
          <w:szCs w:val="32"/>
          <w:highlight w:val="yellow"/>
        </w:rPr>
        <w:t>Les LT 4 sont donc les chefs d’orchestre de la réponse immunitaire acquise.</w:t>
      </w:r>
      <w:r>
        <w:rPr>
          <w:b/>
          <w:color w:val="FF0000"/>
          <w:sz w:val="32"/>
          <w:szCs w:val="32"/>
          <w:highlight w:val="yellow"/>
        </w:rPr>
        <w:t xml:space="preserve"> </w:t>
      </w:r>
    </w:p>
    <w:p w:rsidR="0049629B" w:rsidRPr="00767A1E" w:rsidRDefault="0049629B" w:rsidP="0049629B">
      <w:pPr>
        <w:rPr>
          <w:b/>
          <w:color w:val="FF0000"/>
          <w:sz w:val="32"/>
        </w:rPr>
      </w:pPr>
      <w:r>
        <w:rPr>
          <w:b/>
          <w:bCs/>
          <w:color w:val="FF0000"/>
          <w:sz w:val="32"/>
          <w:highlight w:val="yellow"/>
        </w:rPr>
        <w:t xml:space="preserve">Ils </w:t>
      </w:r>
      <w:proofErr w:type="gramStart"/>
      <w:r>
        <w:rPr>
          <w:b/>
          <w:bCs/>
          <w:color w:val="FF0000"/>
          <w:sz w:val="32"/>
          <w:highlight w:val="yellow"/>
        </w:rPr>
        <w:t xml:space="preserve">ont </w:t>
      </w:r>
      <w:r w:rsidRPr="00767A1E">
        <w:rPr>
          <w:b/>
          <w:bCs/>
          <w:color w:val="FF0000"/>
          <w:sz w:val="32"/>
          <w:highlight w:val="yellow"/>
        </w:rPr>
        <w:t xml:space="preserve"> </w:t>
      </w:r>
      <w:r w:rsidRPr="00767A1E">
        <w:rPr>
          <w:b/>
          <w:color w:val="FF0000"/>
          <w:sz w:val="32"/>
          <w:highlight w:val="yellow"/>
        </w:rPr>
        <w:t>sont</w:t>
      </w:r>
      <w:proofErr w:type="gramEnd"/>
      <w:r w:rsidRPr="00767A1E">
        <w:rPr>
          <w:b/>
          <w:color w:val="FF0000"/>
          <w:sz w:val="32"/>
          <w:highlight w:val="yellow"/>
        </w:rPr>
        <w:t xml:space="preserve"> au centre de toutes les réactions immunitaires adaptatives car, en  leur absence, les LB sont incapables de se transformer en plasmocytes et les LT CD8  sont incapables de se transformer en LT cytotoxiques.</w:t>
      </w:r>
    </w:p>
    <w:p w:rsidR="0049629B" w:rsidRPr="00767A1E" w:rsidRDefault="0049629B" w:rsidP="0049629B">
      <w:pPr>
        <w:numPr>
          <w:ilvl w:val="0"/>
          <w:numId w:val="2"/>
        </w:numPr>
        <w:rPr>
          <w:b/>
          <w:color w:val="FF0000"/>
          <w:sz w:val="32"/>
          <w:szCs w:val="32"/>
          <w:highlight w:val="yellow"/>
        </w:rPr>
      </w:pPr>
    </w:p>
    <w:p w:rsidR="0049629B" w:rsidRDefault="0049629B" w:rsidP="0049629B">
      <w:pPr>
        <w:rPr>
          <w:noProof/>
          <w:lang w:eastAsia="fr-FR"/>
        </w:rPr>
      </w:pPr>
      <w:r w:rsidRPr="00344AF3">
        <w:rPr>
          <w:noProof/>
          <w:color w:val="FF0000"/>
          <w:lang w:eastAsia="fr-FR"/>
        </w:rPr>
        <w:drawing>
          <wp:inline distT="0" distB="0" distL="0" distR="0" wp14:anchorId="048B12FD" wp14:editId="66641E78">
            <wp:extent cx="4273550" cy="302895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54274" name="Picture 2"/>
                    <pic:cNvPicPr>
                      <a:picLocks noChangeAspect="1" noChangeArrowheads="1"/>
                    </pic:cNvPicPr>
                  </pic:nvPicPr>
                  <pic:blipFill>
                    <a:blip r:embed="rId5"/>
                    <a:srcRect/>
                    <a:stretch>
                      <a:fillRect/>
                    </a:stretch>
                  </pic:blipFill>
                  <pic:spPr bwMode="auto">
                    <a:xfrm>
                      <a:off x="0" y="0"/>
                      <a:ext cx="4310801" cy="3055352"/>
                    </a:xfrm>
                    <a:prstGeom prst="rect">
                      <a:avLst/>
                    </a:prstGeom>
                    <a:solidFill>
                      <a:srgbClr val="FFFFFF"/>
                    </a:solidFill>
                    <a:ln w="9525">
                      <a:noFill/>
                      <a:miter lim="800000"/>
                      <a:headEnd/>
                      <a:tailEnd/>
                    </a:ln>
                  </pic:spPr>
                </pic:pic>
              </a:graphicData>
            </a:graphic>
          </wp:inline>
        </w:drawing>
      </w:r>
    </w:p>
    <w:bookmarkEnd w:id="0"/>
    <w:p w:rsidR="0049629B" w:rsidRPr="001457EA" w:rsidRDefault="0049629B" w:rsidP="0049629B">
      <w:pPr>
        <w:rPr>
          <w:color w:val="0070C0"/>
          <w:sz w:val="36"/>
          <w:u w:val="single"/>
        </w:rPr>
      </w:pPr>
      <w:r w:rsidRPr="001457EA">
        <w:rPr>
          <w:color w:val="0070C0"/>
          <w:sz w:val="36"/>
          <w:u w:val="single"/>
        </w:rPr>
        <w:t xml:space="preserve">2- Les lymphocytes cytotoxiques </w:t>
      </w:r>
      <w:r w:rsidRPr="001457EA">
        <w:rPr>
          <w:color w:val="0070C0"/>
          <w:sz w:val="36"/>
          <w:highlight w:val="yellow"/>
          <w:u w:val="single"/>
        </w:rPr>
        <w:t>T8</w:t>
      </w:r>
    </w:p>
    <w:p w:rsidR="0049629B" w:rsidRPr="001457EA" w:rsidRDefault="0049629B" w:rsidP="0049629B">
      <w:pPr>
        <w:numPr>
          <w:ilvl w:val="0"/>
          <w:numId w:val="3"/>
        </w:numPr>
        <w:rPr>
          <w:b/>
          <w:color w:val="FF0000"/>
          <w:sz w:val="36"/>
        </w:rPr>
      </w:pPr>
      <w:r w:rsidRPr="001457EA">
        <w:rPr>
          <w:b/>
          <w:color w:val="FF0000"/>
          <w:sz w:val="36"/>
        </w:rPr>
        <w:t xml:space="preserve">Les LT pré cytotoxiques sont activés par la reconnaissance de l’antigène spécifique (viral) </w:t>
      </w:r>
      <w:r w:rsidRPr="001457EA">
        <w:rPr>
          <w:b/>
          <w:color w:val="FF0000"/>
          <w:sz w:val="36"/>
          <w:highlight w:val="yellow"/>
        </w:rPr>
        <w:t>ET</w:t>
      </w:r>
      <w:r w:rsidRPr="001457EA">
        <w:rPr>
          <w:b/>
          <w:color w:val="FF0000"/>
          <w:sz w:val="36"/>
        </w:rPr>
        <w:t xml:space="preserve"> par les IL2 produites par les T4 : le clone sélectionné se multiplie. </w:t>
      </w:r>
    </w:p>
    <w:p w:rsidR="0049629B" w:rsidRPr="001457EA" w:rsidRDefault="0049629B" w:rsidP="0049629B">
      <w:pPr>
        <w:numPr>
          <w:ilvl w:val="0"/>
          <w:numId w:val="3"/>
        </w:numPr>
        <w:rPr>
          <w:b/>
          <w:color w:val="FF0000"/>
          <w:sz w:val="36"/>
        </w:rPr>
      </w:pPr>
      <w:r w:rsidRPr="001457EA">
        <w:rPr>
          <w:b/>
          <w:color w:val="FF0000"/>
          <w:sz w:val="36"/>
        </w:rPr>
        <w:t xml:space="preserve">Les LT8 ont pour rôle de détruire les cellules porteuses de l’antigène sélectionné, </w:t>
      </w:r>
      <w:r w:rsidRPr="001457EA">
        <w:rPr>
          <w:b/>
          <w:color w:val="FF0000"/>
          <w:sz w:val="36"/>
          <w:highlight w:val="yellow"/>
        </w:rPr>
        <w:t>ils sont appelés LT cytotoxiques</w:t>
      </w:r>
      <w:r w:rsidRPr="001457EA">
        <w:rPr>
          <w:b/>
          <w:color w:val="FF0000"/>
          <w:sz w:val="36"/>
        </w:rPr>
        <w:t xml:space="preserve"> car ils fabriquent des perforines qui entraînent l’éclatement de la cellule infectée par les virus.</w:t>
      </w:r>
    </w:p>
    <w:p w:rsidR="0049629B" w:rsidRPr="00434702" w:rsidRDefault="0049629B" w:rsidP="0049629B">
      <w:pPr>
        <w:rPr>
          <w:color w:val="FF0000"/>
        </w:rPr>
      </w:pPr>
      <w:hyperlink r:id="rId6" w:history="1">
        <w:r w:rsidRPr="00434702">
          <w:rPr>
            <w:rStyle w:val="Lienhypertexte"/>
          </w:rPr>
          <w:t>https://www.youtube.com/watch?v=xvtVOXUCNEU</w:t>
        </w:r>
      </w:hyperlink>
    </w:p>
    <w:p w:rsidR="0049629B" w:rsidRPr="00434702" w:rsidRDefault="0049629B" w:rsidP="0049629B">
      <w:pPr>
        <w:rPr>
          <w:color w:val="FF0000"/>
        </w:rPr>
      </w:pPr>
      <w:hyperlink r:id="rId7" w:history="1">
        <w:r w:rsidRPr="00434702">
          <w:rPr>
            <w:rStyle w:val="Lienhypertexte"/>
          </w:rPr>
          <w:t>https://www.youtube.com/watch?time_continue=7&amp;v=I8UFzOWXAwg</w:t>
        </w:r>
      </w:hyperlink>
    </w:p>
    <w:p w:rsidR="0049629B" w:rsidRDefault="0049629B" w:rsidP="0049629B">
      <w:pPr>
        <w:rPr>
          <w:color w:val="FF0000"/>
        </w:rPr>
      </w:pPr>
      <w:hyperlink r:id="rId8" w:history="1">
        <w:r w:rsidRPr="00434702">
          <w:rPr>
            <w:rStyle w:val="Lienhypertexte"/>
          </w:rPr>
          <w:t>https://www.youtube.com/watch?time_continue=17&amp;v=hSx-sQ_WAJw</w:t>
        </w:r>
      </w:hyperlink>
    </w:p>
    <w:p w:rsidR="0049629B" w:rsidRDefault="0049629B" w:rsidP="0049629B">
      <w:pPr>
        <w:rPr>
          <w:color w:val="FF0000"/>
        </w:rPr>
      </w:pPr>
    </w:p>
    <w:p w:rsidR="0049629B" w:rsidRDefault="0049629B" w:rsidP="0049629B">
      <w:pPr>
        <w:ind w:left="708"/>
        <w:rPr>
          <w:noProof/>
          <w:lang w:eastAsia="fr-FR"/>
        </w:rPr>
      </w:pPr>
      <w:r w:rsidRPr="00434702">
        <w:rPr>
          <w:noProof/>
          <w:color w:val="FF0000"/>
          <w:lang w:eastAsia="fr-FR"/>
        </w:rPr>
        <w:drawing>
          <wp:inline distT="0" distB="0" distL="0" distR="0" wp14:anchorId="29F1C207" wp14:editId="3AAD579E">
            <wp:extent cx="5067300" cy="3707765"/>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58370" name="Picture 2"/>
                    <pic:cNvPicPr>
                      <a:picLocks noChangeAspect="1" noChangeArrowheads="1"/>
                    </pic:cNvPicPr>
                  </pic:nvPicPr>
                  <pic:blipFill>
                    <a:blip r:embed="rId9"/>
                    <a:srcRect/>
                    <a:stretch>
                      <a:fillRect/>
                    </a:stretch>
                  </pic:blipFill>
                  <pic:spPr bwMode="auto">
                    <a:xfrm>
                      <a:off x="0" y="0"/>
                      <a:ext cx="5067300" cy="3707765"/>
                    </a:xfrm>
                    <a:prstGeom prst="rect">
                      <a:avLst/>
                    </a:prstGeom>
                    <a:solidFill>
                      <a:srgbClr val="FFFFFF"/>
                    </a:solidFill>
                    <a:ln w="9525">
                      <a:noFill/>
                      <a:miter lim="800000"/>
                      <a:headEnd/>
                      <a:tailEnd/>
                    </a:ln>
                  </pic:spPr>
                </pic:pic>
              </a:graphicData>
            </a:graphic>
          </wp:inline>
        </w:drawing>
      </w:r>
      <w:r w:rsidRPr="00434702">
        <w:rPr>
          <w:noProof/>
          <w:color w:val="FF0000"/>
          <w:lang w:eastAsia="fr-FR"/>
        </w:rPr>
        <w:drawing>
          <wp:inline distT="0" distB="0" distL="0" distR="0" wp14:anchorId="27071068" wp14:editId="550D2E9C">
            <wp:extent cx="2755681" cy="2585545"/>
            <wp:effectExtent l="19050" t="0" r="6569" b="0"/>
            <wp:docPr id="23" name="Image 23" descr="http://www.vivelessvt.com/wp-content/uploads/2009/03/lymphocyte-t.jpg"/>
            <wp:cNvGraphicFramePr/>
            <a:graphic xmlns:a="http://schemas.openxmlformats.org/drawingml/2006/main">
              <a:graphicData uri="http://schemas.openxmlformats.org/drawingml/2006/picture">
                <pic:pic xmlns:pic="http://schemas.openxmlformats.org/drawingml/2006/picture">
                  <pic:nvPicPr>
                    <pic:cNvPr id="57347" name="Picture 3" descr="http://www.vivelessvt.com/wp-content/uploads/2009/03/lymphocyte-t.jpg"/>
                    <pic:cNvPicPr>
                      <a:picLocks noChangeAspect="1" noChangeArrowheads="1"/>
                    </pic:cNvPicPr>
                  </pic:nvPicPr>
                  <pic:blipFill>
                    <a:blip r:embed="rId10"/>
                    <a:srcRect r="6906" b="13435"/>
                    <a:stretch>
                      <a:fillRect/>
                    </a:stretch>
                  </pic:blipFill>
                  <pic:spPr bwMode="auto">
                    <a:xfrm>
                      <a:off x="0" y="0"/>
                      <a:ext cx="2757090" cy="2586867"/>
                    </a:xfrm>
                    <a:prstGeom prst="rect">
                      <a:avLst/>
                    </a:prstGeom>
                    <a:noFill/>
                    <a:ln w="9525">
                      <a:noFill/>
                      <a:miter lim="800000"/>
                      <a:headEnd/>
                      <a:tailEnd/>
                    </a:ln>
                  </pic:spPr>
                </pic:pic>
              </a:graphicData>
            </a:graphic>
          </wp:inline>
        </w:drawing>
      </w:r>
    </w:p>
    <w:p w:rsidR="0049629B" w:rsidRDefault="0049629B" w:rsidP="0049629B">
      <w:pPr>
        <w:rPr>
          <w:b/>
          <w:color w:val="00B050"/>
          <w:sz w:val="40"/>
        </w:rPr>
      </w:pPr>
    </w:p>
    <w:p w:rsidR="0049629B" w:rsidRDefault="0049629B" w:rsidP="0049629B">
      <w:pPr>
        <w:rPr>
          <w:b/>
          <w:color w:val="00B050"/>
          <w:sz w:val="40"/>
        </w:rPr>
      </w:pPr>
      <w:r w:rsidRPr="00895D44">
        <w:rPr>
          <w:noProof/>
          <w:sz w:val="24"/>
          <w:szCs w:val="24"/>
        </w:rPr>
        <w:lastRenderedPageBreak/>
        <w:drawing>
          <wp:inline distT="0" distB="0" distL="0" distR="0" wp14:anchorId="75C205CA" wp14:editId="2F64FE89">
            <wp:extent cx="6645910" cy="4380230"/>
            <wp:effectExtent l="0" t="0" r="2540" b="1270"/>
            <wp:docPr id="58370" name="Picture 118">
              <a:extLst xmlns:a="http://schemas.openxmlformats.org/drawingml/2006/main">
                <a:ext uri="{FF2B5EF4-FFF2-40B4-BE49-F238E27FC236}">
                  <a16:creationId xmlns:a16="http://schemas.microsoft.com/office/drawing/2014/main" id="{CA121305-6CD4-4B15-A296-B26DDDCF7A6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8370" name="Picture 118">
                      <a:extLst>
                        <a:ext uri="{FF2B5EF4-FFF2-40B4-BE49-F238E27FC236}">
                          <a16:creationId xmlns:a16="http://schemas.microsoft.com/office/drawing/2014/main" id="{CA121305-6CD4-4B15-A296-B26DDDCF7A61}"/>
                        </a:ext>
                      </a:extLst>
                    </pic:cNvPr>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380230"/>
                    </a:xfrm>
                    <a:prstGeom prst="rect">
                      <a:avLst/>
                    </a:prstGeom>
                    <a:noFill/>
                    <a:ln>
                      <a:noFill/>
                    </a:ln>
                  </pic:spPr>
                </pic:pic>
              </a:graphicData>
            </a:graphic>
          </wp:inline>
        </w:drawing>
      </w:r>
    </w:p>
    <w:p w:rsidR="0049629B" w:rsidRDefault="0049629B" w:rsidP="0049629B">
      <w:pPr>
        <w:rPr>
          <w:b/>
          <w:color w:val="00B050"/>
          <w:sz w:val="40"/>
        </w:rPr>
      </w:pPr>
    </w:p>
    <w:p w:rsidR="0049629B" w:rsidRDefault="0049629B" w:rsidP="0049629B">
      <w:pPr>
        <w:rPr>
          <w:b/>
          <w:color w:val="00B050"/>
          <w:sz w:val="40"/>
        </w:rPr>
      </w:pPr>
    </w:p>
    <w:p w:rsidR="0049629B" w:rsidRDefault="0049629B" w:rsidP="0049629B">
      <w:pPr>
        <w:rPr>
          <w:b/>
          <w:color w:val="00B050"/>
          <w:sz w:val="40"/>
        </w:rPr>
      </w:pPr>
      <w:r>
        <w:rPr>
          <w:noProof/>
        </w:rPr>
        <w:drawing>
          <wp:inline distT="0" distB="0" distL="0" distR="0" wp14:anchorId="508593D4" wp14:editId="2F84FF7D">
            <wp:extent cx="6877050" cy="3841750"/>
            <wp:effectExtent l="0" t="0" r="0" b="0"/>
            <wp:docPr id="7" name="Image 7" descr="Sciences de la Vie et de la Terre, Aix - Marseille, Thème Le corps humain  et la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iences de la Vie et de la Terre, Aix - Marseille, Thème Le corps humain  et la sant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7050" cy="3841750"/>
                    </a:xfrm>
                    <a:prstGeom prst="rect">
                      <a:avLst/>
                    </a:prstGeom>
                    <a:noFill/>
                    <a:ln>
                      <a:noFill/>
                    </a:ln>
                  </pic:spPr>
                </pic:pic>
              </a:graphicData>
            </a:graphic>
          </wp:inline>
        </w:drawing>
      </w:r>
    </w:p>
    <w:p w:rsidR="006547E4" w:rsidRDefault="0049629B">
      <w:bookmarkStart w:id="1" w:name="_GoBack"/>
      <w:bookmarkEnd w:id="1"/>
    </w:p>
    <w:sectPr w:rsidR="006547E4" w:rsidSect="004962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304"/>
    <w:multiLevelType w:val="hybridMultilevel"/>
    <w:tmpl w:val="297857F2"/>
    <w:lvl w:ilvl="0" w:tplc="78EED6B6">
      <w:start w:val="1"/>
      <w:numFmt w:val="bullet"/>
      <w:lvlText w:val=""/>
      <w:lvlJc w:val="left"/>
      <w:pPr>
        <w:tabs>
          <w:tab w:val="num" w:pos="720"/>
        </w:tabs>
        <w:ind w:left="720" w:hanging="360"/>
      </w:pPr>
      <w:rPr>
        <w:rFonts w:ascii="Symbol" w:hAnsi="Symbol" w:hint="default"/>
      </w:rPr>
    </w:lvl>
    <w:lvl w:ilvl="1" w:tplc="996890FA" w:tentative="1">
      <w:start w:val="1"/>
      <w:numFmt w:val="bullet"/>
      <w:lvlText w:val=""/>
      <w:lvlJc w:val="left"/>
      <w:pPr>
        <w:tabs>
          <w:tab w:val="num" w:pos="1440"/>
        </w:tabs>
        <w:ind w:left="1440" w:hanging="360"/>
      </w:pPr>
      <w:rPr>
        <w:rFonts w:ascii="Symbol" w:hAnsi="Symbol" w:hint="default"/>
      </w:rPr>
    </w:lvl>
    <w:lvl w:ilvl="2" w:tplc="5D24AEAE" w:tentative="1">
      <w:start w:val="1"/>
      <w:numFmt w:val="bullet"/>
      <w:lvlText w:val=""/>
      <w:lvlJc w:val="left"/>
      <w:pPr>
        <w:tabs>
          <w:tab w:val="num" w:pos="2160"/>
        </w:tabs>
        <w:ind w:left="2160" w:hanging="360"/>
      </w:pPr>
      <w:rPr>
        <w:rFonts w:ascii="Symbol" w:hAnsi="Symbol" w:hint="default"/>
      </w:rPr>
    </w:lvl>
    <w:lvl w:ilvl="3" w:tplc="C876F684" w:tentative="1">
      <w:start w:val="1"/>
      <w:numFmt w:val="bullet"/>
      <w:lvlText w:val=""/>
      <w:lvlJc w:val="left"/>
      <w:pPr>
        <w:tabs>
          <w:tab w:val="num" w:pos="2880"/>
        </w:tabs>
        <w:ind w:left="2880" w:hanging="360"/>
      </w:pPr>
      <w:rPr>
        <w:rFonts w:ascii="Symbol" w:hAnsi="Symbol" w:hint="default"/>
      </w:rPr>
    </w:lvl>
    <w:lvl w:ilvl="4" w:tplc="EB7465BA" w:tentative="1">
      <w:start w:val="1"/>
      <w:numFmt w:val="bullet"/>
      <w:lvlText w:val=""/>
      <w:lvlJc w:val="left"/>
      <w:pPr>
        <w:tabs>
          <w:tab w:val="num" w:pos="3600"/>
        </w:tabs>
        <w:ind w:left="3600" w:hanging="360"/>
      </w:pPr>
      <w:rPr>
        <w:rFonts w:ascii="Symbol" w:hAnsi="Symbol" w:hint="default"/>
      </w:rPr>
    </w:lvl>
    <w:lvl w:ilvl="5" w:tplc="2EE2DCD8" w:tentative="1">
      <w:start w:val="1"/>
      <w:numFmt w:val="bullet"/>
      <w:lvlText w:val=""/>
      <w:lvlJc w:val="left"/>
      <w:pPr>
        <w:tabs>
          <w:tab w:val="num" w:pos="4320"/>
        </w:tabs>
        <w:ind w:left="4320" w:hanging="360"/>
      </w:pPr>
      <w:rPr>
        <w:rFonts w:ascii="Symbol" w:hAnsi="Symbol" w:hint="default"/>
      </w:rPr>
    </w:lvl>
    <w:lvl w:ilvl="6" w:tplc="FE8611A2" w:tentative="1">
      <w:start w:val="1"/>
      <w:numFmt w:val="bullet"/>
      <w:lvlText w:val=""/>
      <w:lvlJc w:val="left"/>
      <w:pPr>
        <w:tabs>
          <w:tab w:val="num" w:pos="5040"/>
        </w:tabs>
        <w:ind w:left="5040" w:hanging="360"/>
      </w:pPr>
      <w:rPr>
        <w:rFonts w:ascii="Symbol" w:hAnsi="Symbol" w:hint="default"/>
      </w:rPr>
    </w:lvl>
    <w:lvl w:ilvl="7" w:tplc="CDDADDD8" w:tentative="1">
      <w:start w:val="1"/>
      <w:numFmt w:val="bullet"/>
      <w:lvlText w:val=""/>
      <w:lvlJc w:val="left"/>
      <w:pPr>
        <w:tabs>
          <w:tab w:val="num" w:pos="5760"/>
        </w:tabs>
        <w:ind w:left="5760" w:hanging="360"/>
      </w:pPr>
      <w:rPr>
        <w:rFonts w:ascii="Symbol" w:hAnsi="Symbol" w:hint="default"/>
      </w:rPr>
    </w:lvl>
    <w:lvl w:ilvl="8" w:tplc="26D88B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0E0871"/>
    <w:multiLevelType w:val="hybridMultilevel"/>
    <w:tmpl w:val="0102F4C0"/>
    <w:lvl w:ilvl="0" w:tplc="14A45BF0">
      <w:start w:val="1"/>
      <w:numFmt w:val="bullet"/>
      <w:lvlText w:val=""/>
      <w:lvlJc w:val="left"/>
      <w:pPr>
        <w:tabs>
          <w:tab w:val="num" w:pos="720"/>
        </w:tabs>
        <w:ind w:left="720" w:hanging="360"/>
      </w:pPr>
      <w:rPr>
        <w:rFonts w:ascii="Symbol" w:hAnsi="Symbol" w:hint="default"/>
      </w:rPr>
    </w:lvl>
    <w:lvl w:ilvl="1" w:tplc="7EEA38C2">
      <w:start w:val="2035"/>
      <w:numFmt w:val="bullet"/>
      <w:lvlText w:val="o"/>
      <w:lvlJc w:val="left"/>
      <w:pPr>
        <w:tabs>
          <w:tab w:val="num" w:pos="1440"/>
        </w:tabs>
        <w:ind w:left="1440" w:hanging="360"/>
      </w:pPr>
      <w:rPr>
        <w:rFonts w:ascii="Courier New" w:hAnsi="Courier New" w:hint="default"/>
      </w:rPr>
    </w:lvl>
    <w:lvl w:ilvl="2" w:tplc="D7A46A08" w:tentative="1">
      <w:start w:val="1"/>
      <w:numFmt w:val="bullet"/>
      <w:lvlText w:val=""/>
      <w:lvlJc w:val="left"/>
      <w:pPr>
        <w:tabs>
          <w:tab w:val="num" w:pos="2160"/>
        </w:tabs>
        <w:ind w:left="2160" w:hanging="360"/>
      </w:pPr>
      <w:rPr>
        <w:rFonts w:ascii="Symbol" w:hAnsi="Symbol" w:hint="default"/>
      </w:rPr>
    </w:lvl>
    <w:lvl w:ilvl="3" w:tplc="31D28F08" w:tentative="1">
      <w:start w:val="1"/>
      <w:numFmt w:val="bullet"/>
      <w:lvlText w:val=""/>
      <w:lvlJc w:val="left"/>
      <w:pPr>
        <w:tabs>
          <w:tab w:val="num" w:pos="2880"/>
        </w:tabs>
        <w:ind w:left="2880" w:hanging="360"/>
      </w:pPr>
      <w:rPr>
        <w:rFonts w:ascii="Symbol" w:hAnsi="Symbol" w:hint="default"/>
      </w:rPr>
    </w:lvl>
    <w:lvl w:ilvl="4" w:tplc="CF08FBC0" w:tentative="1">
      <w:start w:val="1"/>
      <w:numFmt w:val="bullet"/>
      <w:lvlText w:val=""/>
      <w:lvlJc w:val="left"/>
      <w:pPr>
        <w:tabs>
          <w:tab w:val="num" w:pos="3600"/>
        </w:tabs>
        <w:ind w:left="3600" w:hanging="360"/>
      </w:pPr>
      <w:rPr>
        <w:rFonts w:ascii="Symbol" w:hAnsi="Symbol" w:hint="default"/>
      </w:rPr>
    </w:lvl>
    <w:lvl w:ilvl="5" w:tplc="818AF818" w:tentative="1">
      <w:start w:val="1"/>
      <w:numFmt w:val="bullet"/>
      <w:lvlText w:val=""/>
      <w:lvlJc w:val="left"/>
      <w:pPr>
        <w:tabs>
          <w:tab w:val="num" w:pos="4320"/>
        </w:tabs>
        <w:ind w:left="4320" w:hanging="360"/>
      </w:pPr>
      <w:rPr>
        <w:rFonts w:ascii="Symbol" w:hAnsi="Symbol" w:hint="default"/>
      </w:rPr>
    </w:lvl>
    <w:lvl w:ilvl="6" w:tplc="3262473C" w:tentative="1">
      <w:start w:val="1"/>
      <w:numFmt w:val="bullet"/>
      <w:lvlText w:val=""/>
      <w:lvlJc w:val="left"/>
      <w:pPr>
        <w:tabs>
          <w:tab w:val="num" w:pos="5040"/>
        </w:tabs>
        <w:ind w:left="5040" w:hanging="360"/>
      </w:pPr>
      <w:rPr>
        <w:rFonts w:ascii="Symbol" w:hAnsi="Symbol" w:hint="default"/>
      </w:rPr>
    </w:lvl>
    <w:lvl w:ilvl="7" w:tplc="44DAEEA0" w:tentative="1">
      <w:start w:val="1"/>
      <w:numFmt w:val="bullet"/>
      <w:lvlText w:val=""/>
      <w:lvlJc w:val="left"/>
      <w:pPr>
        <w:tabs>
          <w:tab w:val="num" w:pos="5760"/>
        </w:tabs>
        <w:ind w:left="5760" w:hanging="360"/>
      </w:pPr>
      <w:rPr>
        <w:rFonts w:ascii="Symbol" w:hAnsi="Symbol" w:hint="default"/>
      </w:rPr>
    </w:lvl>
    <w:lvl w:ilvl="8" w:tplc="FFB0C4A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4B7929"/>
    <w:multiLevelType w:val="hybridMultilevel"/>
    <w:tmpl w:val="E222D468"/>
    <w:lvl w:ilvl="0" w:tplc="57502F14">
      <w:start w:val="1"/>
      <w:numFmt w:val="bullet"/>
      <w:lvlText w:val=""/>
      <w:lvlJc w:val="left"/>
      <w:pPr>
        <w:tabs>
          <w:tab w:val="num" w:pos="720"/>
        </w:tabs>
        <w:ind w:left="720" w:hanging="360"/>
      </w:pPr>
      <w:rPr>
        <w:rFonts w:ascii="Symbol" w:hAnsi="Symbol" w:hint="default"/>
      </w:rPr>
    </w:lvl>
    <w:lvl w:ilvl="1" w:tplc="5FAE0532">
      <w:start w:val="1981"/>
      <w:numFmt w:val="bullet"/>
      <w:lvlText w:val="o"/>
      <w:lvlJc w:val="left"/>
      <w:pPr>
        <w:tabs>
          <w:tab w:val="num" w:pos="1440"/>
        </w:tabs>
        <w:ind w:left="1440" w:hanging="360"/>
      </w:pPr>
      <w:rPr>
        <w:rFonts w:ascii="Courier New" w:hAnsi="Courier New" w:hint="default"/>
      </w:rPr>
    </w:lvl>
    <w:lvl w:ilvl="2" w:tplc="BBFAD826" w:tentative="1">
      <w:start w:val="1"/>
      <w:numFmt w:val="bullet"/>
      <w:lvlText w:val=""/>
      <w:lvlJc w:val="left"/>
      <w:pPr>
        <w:tabs>
          <w:tab w:val="num" w:pos="2160"/>
        </w:tabs>
        <w:ind w:left="2160" w:hanging="360"/>
      </w:pPr>
      <w:rPr>
        <w:rFonts w:ascii="Symbol" w:hAnsi="Symbol" w:hint="default"/>
      </w:rPr>
    </w:lvl>
    <w:lvl w:ilvl="3" w:tplc="DBA0268A" w:tentative="1">
      <w:start w:val="1"/>
      <w:numFmt w:val="bullet"/>
      <w:lvlText w:val=""/>
      <w:lvlJc w:val="left"/>
      <w:pPr>
        <w:tabs>
          <w:tab w:val="num" w:pos="2880"/>
        </w:tabs>
        <w:ind w:left="2880" w:hanging="360"/>
      </w:pPr>
      <w:rPr>
        <w:rFonts w:ascii="Symbol" w:hAnsi="Symbol" w:hint="default"/>
      </w:rPr>
    </w:lvl>
    <w:lvl w:ilvl="4" w:tplc="C964ACCE" w:tentative="1">
      <w:start w:val="1"/>
      <w:numFmt w:val="bullet"/>
      <w:lvlText w:val=""/>
      <w:lvlJc w:val="left"/>
      <w:pPr>
        <w:tabs>
          <w:tab w:val="num" w:pos="3600"/>
        </w:tabs>
        <w:ind w:left="3600" w:hanging="360"/>
      </w:pPr>
      <w:rPr>
        <w:rFonts w:ascii="Symbol" w:hAnsi="Symbol" w:hint="default"/>
      </w:rPr>
    </w:lvl>
    <w:lvl w:ilvl="5" w:tplc="0D641846" w:tentative="1">
      <w:start w:val="1"/>
      <w:numFmt w:val="bullet"/>
      <w:lvlText w:val=""/>
      <w:lvlJc w:val="left"/>
      <w:pPr>
        <w:tabs>
          <w:tab w:val="num" w:pos="4320"/>
        </w:tabs>
        <w:ind w:left="4320" w:hanging="360"/>
      </w:pPr>
      <w:rPr>
        <w:rFonts w:ascii="Symbol" w:hAnsi="Symbol" w:hint="default"/>
      </w:rPr>
    </w:lvl>
    <w:lvl w:ilvl="6" w:tplc="A4F6F2DC" w:tentative="1">
      <w:start w:val="1"/>
      <w:numFmt w:val="bullet"/>
      <w:lvlText w:val=""/>
      <w:lvlJc w:val="left"/>
      <w:pPr>
        <w:tabs>
          <w:tab w:val="num" w:pos="5040"/>
        </w:tabs>
        <w:ind w:left="5040" w:hanging="360"/>
      </w:pPr>
      <w:rPr>
        <w:rFonts w:ascii="Symbol" w:hAnsi="Symbol" w:hint="default"/>
      </w:rPr>
    </w:lvl>
    <w:lvl w:ilvl="7" w:tplc="6E5ACAA0" w:tentative="1">
      <w:start w:val="1"/>
      <w:numFmt w:val="bullet"/>
      <w:lvlText w:val=""/>
      <w:lvlJc w:val="left"/>
      <w:pPr>
        <w:tabs>
          <w:tab w:val="num" w:pos="5760"/>
        </w:tabs>
        <w:ind w:left="5760" w:hanging="360"/>
      </w:pPr>
      <w:rPr>
        <w:rFonts w:ascii="Symbol" w:hAnsi="Symbol" w:hint="default"/>
      </w:rPr>
    </w:lvl>
    <w:lvl w:ilvl="8" w:tplc="FA149E4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9B"/>
    <w:rsid w:val="0049629B"/>
    <w:rsid w:val="00FA5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76C7B-6B79-4CF6-A6E5-454D0D0F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29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6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7&amp;v=hSx-sQ_WAJ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time_continue=7&amp;v=I8UFzOWXAwg"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vtVOXUCNEU"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1</cp:revision>
  <dcterms:created xsi:type="dcterms:W3CDTF">2025-02-04T12:50:00Z</dcterms:created>
  <dcterms:modified xsi:type="dcterms:W3CDTF">2025-02-04T12:50:00Z</dcterms:modified>
</cp:coreProperties>
</file>