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AC7FDF">
      <w:pPr>
        <w:ind w:left="-566"/>
      </w:pPr>
    </w:p>
    <w:p w:rsidR="00AC7FDF" w:rsidRDefault="00EF54DA">
      <w:pPr>
        <w:ind w:left="-566" w:right="-604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Document 1 :</w:t>
      </w:r>
      <w:r>
        <w:rPr>
          <w:b/>
          <w:sz w:val="26"/>
          <w:szCs w:val="26"/>
        </w:rPr>
        <w:t xml:space="preserve"> Rappels sur l’anatomie de l’appareil reproducteur féminin.</w:t>
      </w:r>
    </w:p>
    <w:p w:rsidR="00AC7FDF" w:rsidRPr="00830F17" w:rsidRDefault="00EF54DA">
      <w:pPr>
        <w:ind w:left="-566" w:right="-604"/>
      </w:pPr>
      <w:r w:rsidRPr="00830F17">
        <w:t xml:space="preserve">À partir de vos connaissances, </w:t>
      </w:r>
      <w:r w:rsidR="00830F17" w:rsidRPr="00830F17">
        <w:rPr>
          <w:b/>
        </w:rPr>
        <w:t>légendez</w:t>
      </w:r>
      <w:r w:rsidRPr="00830F17">
        <w:t xml:space="preserve"> le schéma de l’appareil reproducteur féminin suivant :</w:t>
      </w:r>
    </w:p>
    <w:p w:rsidR="00AC7FDF" w:rsidRDefault="00EF54DA">
      <w:pPr>
        <w:ind w:left="-566" w:right="-604"/>
        <w:jc w:val="center"/>
      </w:pPr>
      <w:r>
        <w:rPr>
          <w:noProof/>
        </w:rPr>
        <w:drawing>
          <wp:inline distT="114300" distB="114300" distL="114300" distR="114300">
            <wp:extent cx="5019675" cy="4238625"/>
            <wp:effectExtent l="0" t="0" r="9525" b="9525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266" cy="4239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FDF" w:rsidRDefault="00AC7FDF">
      <w:pPr>
        <w:ind w:left="-566" w:right="-604"/>
        <w:jc w:val="center"/>
      </w:pPr>
    </w:p>
    <w:p w:rsidR="00AC7FDF" w:rsidRDefault="00AC7FDF">
      <w:pPr>
        <w:ind w:left="-566" w:right="-604"/>
        <w:jc w:val="center"/>
      </w:pPr>
    </w:p>
    <w:p w:rsidR="00AC7FDF" w:rsidRDefault="00EF54DA">
      <w:pPr>
        <w:ind w:left="-566"/>
        <w:jc w:val="both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Document 2 :</w:t>
      </w:r>
      <w:r>
        <w:rPr>
          <w:b/>
          <w:sz w:val="26"/>
          <w:szCs w:val="26"/>
        </w:rPr>
        <w:t xml:space="preserve"> Le cycle ovarien.</w:t>
      </w:r>
    </w:p>
    <w:p w:rsidR="00AC7FDF" w:rsidRDefault="00AC7FDF">
      <w:pPr>
        <w:ind w:left="-566"/>
        <w:jc w:val="both"/>
        <w:rPr>
          <w:b/>
          <w:sz w:val="26"/>
          <w:szCs w:val="26"/>
        </w:rPr>
      </w:pPr>
    </w:p>
    <w:p w:rsidR="00AC7FDF" w:rsidRDefault="00EF54DA">
      <w:pPr>
        <w:ind w:left="-566"/>
        <w:jc w:val="both"/>
      </w:pPr>
      <w:r>
        <w:t>L’ovaire contient, à différents stades de leur développement, des follicules constitués de cellules folliculaires entourant un ovocyte.</w:t>
      </w:r>
    </w:p>
    <w:p w:rsidR="00AC7FDF" w:rsidRDefault="00EF54DA">
      <w:pPr>
        <w:ind w:left="-566"/>
        <w:jc w:val="both"/>
      </w:pPr>
      <w:r>
        <w:t xml:space="preserve">À chaque cycle, un follicule tertiaire grossit et évolue en follicule mûr de « De Graaf » jusqu’à l’ovulation (expulsion d’un ovocyte et d’un globule polaire) qui se produit le 14ème jour. Le follicule évolue alors en corps jaune : les cellules folliculaires se transforment en cellules lutéales. Le corps jaune régresse ensuite à la fin du cycle. </w:t>
      </w:r>
    </w:p>
    <w:p w:rsidR="00AC7FDF" w:rsidRDefault="00EF54DA">
      <w:pPr>
        <w:ind w:right="427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3744" cy="4903076"/>
            <wp:effectExtent l="0" t="0" r="635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1" cy="4920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FDF" w:rsidRDefault="00AC7FDF">
      <w:pPr>
        <w:ind w:left="-566"/>
        <w:jc w:val="both"/>
      </w:pPr>
    </w:p>
    <w:p w:rsidR="00AC7FDF" w:rsidRDefault="00EF54DA">
      <w:pPr>
        <w:ind w:left="-566"/>
        <w:jc w:val="center"/>
      </w:pPr>
      <w:r>
        <w:rPr>
          <w:b/>
          <w:u w:val="single"/>
        </w:rPr>
        <w:t>Observations microscopiques de follicules ovariens à différents moments du cycle</w:t>
      </w:r>
    </w:p>
    <w:p w:rsidR="00AC7FDF" w:rsidRDefault="00EF54DA">
      <w:pPr>
        <w:ind w:left="-566"/>
        <w:jc w:val="center"/>
      </w:pPr>
      <w:r>
        <w:rPr>
          <w:noProof/>
        </w:rPr>
        <w:drawing>
          <wp:inline distT="114300" distB="114300" distL="114300" distR="114300">
            <wp:extent cx="6369269" cy="2916621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940" cy="2924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FDF" w:rsidRDefault="00AC7FDF">
      <w:pPr>
        <w:ind w:left="-566"/>
        <w:jc w:val="both"/>
      </w:pPr>
    </w:p>
    <w:p w:rsidR="00AC7FDF" w:rsidRDefault="00AC7FDF">
      <w:pPr>
        <w:ind w:left="-566"/>
        <w:jc w:val="both"/>
      </w:pPr>
    </w:p>
    <w:p w:rsidR="000E5D22" w:rsidRDefault="000E5D22">
      <w:pPr>
        <w:ind w:left="-566"/>
        <w:jc w:val="both"/>
      </w:pPr>
    </w:p>
    <w:p w:rsidR="000E5D22" w:rsidRDefault="000E5D22">
      <w:pPr>
        <w:ind w:left="-566"/>
        <w:jc w:val="both"/>
      </w:pPr>
    </w:p>
    <w:p w:rsidR="000E5D22" w:rsidRDefault="000E5D22" w:rsidP="000E5D22">
      <w:pPr>
        <w:jc w:val="both"/>
      </w:pPr>
    </w:p>
    <w:p w:rsidR="00AC7FDF" w:rsidRDefault="00EF54DA">
      <w:pPr>
        <w:ind w:left="-566"/>
        <w:jc w:val="both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Document 3 :</w:t>
      </w:r>
      <w:r>
        <w:rPr>
          <w:b/>
          <w:sz w:val="26"/>
          <w:szCs w:val="26"/>
        </w:rPr>
        <w:t xml:space="preserve"> Le cycle utérin.</w:t>
      </w:r>
    </w:p>
    <w:p w:rsidR="00AC7FDF" w:rsidRDefault="00EF54DA">
      <w:pPr>
        <w:ind w:left="-566"/>
        <w:jc w:val="both"/>
      </w:pPr>
      <w:r>
        <w:t xml:space="preserve">Le </w:t>
      </w:r>
      <w:r>
        <w:rPr>
          <w:b/>
        </w:rPr>
        <w:t>cycle</w:t>
      </w:r>
      <w:r>
        <w:t xml:space="preserve"> </w:t>
      </w:r>
      <w:r>
        <w:rPr>
          <w:b/>
        </w:rPr>
        <w:t>utérin</w:t>
      </w:r>
      <w:r>
        <w:t xml:space="preserve"> correspond à l’évolution de la muqueuse utérine (</w:t>
      </w:r>
      <w:r>
        <w:rPr>
          <w:b/>
        </w:rPr>
        <w:t>endomètre</w:t>
      </w:r>
      <w:r>
        <w:t>) au cours du cycle menstruel.</w:t>
      </w:r>
    </w:p>
    <w:p w:rsidR="00AC7FDF" w:rsidRDefault="00EF54DA">
      <w:pPr>
        <w:jc w:val="center"/>
      </w:pPr>
      <w:r>
        <w:rPr>
          <w:noProof/>
        </w:rPr>
        <w:drawing>
          <wp:inline distT="114300" distB="114300" distL="114300" distR="114300">
            <wp:extent cx="5770179" cy="2065283"/>
            <wp:effectExtent l="0" t="0" r="254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662" cy="2073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FDF" w:rsidRPr="000E5D22" w:rsidRDefault="00EF54DA">
      <w:pPr>
        <w:ind w:left="-566"/>
        <w:jc w:val="both"/>
        <w:rPr>
          <w:b/>
        </w:rPr>
      </w:pPr>
      <w:r w:rsidRPr="000E5D22">
        <w:t xml:space="preserve">À partir des documents 2 et 3, </w:t>
      </w:r>
      <w:r w:rsidRPr="000E5D22">
        <w:rPr>
          <w:b/>
        </w:rPr>
        <w:t>remplissez le tableau</w:t>
      </w:r>
      <w:r w:rsidRPr="000E5D22">
        <w:t xml:space="preserve"> ci-dessous pour les cycles ovariens et utérins en fonction des différentes phases des cycles</w:t>
      </w:r>
      <w:r w:rsidR="000E5D22">
        <w:t xml:space="preserve"> </w:t>
      </w:r>
      <w:r w:rsidR="000E5D22" w:rsidRPr="000E5D22">
        <w:rPr>
          <w:b/>
        </w:rPr>
        <w:t xml:space="preserve">afin de montrer le fonctionnement synchrone </w:t>
      </w:r>
      <w:proofErr w:type="gramStart"/>
      <w:r w:rsidR="000E5D22" w:rsidRPr="000E5D22">
        <w:rPr>
          <w:b/>
        </w:rPr>
        <w:t>des ovaire</w:t>
      </w:r>
      <w:proofErr w:type="gramEnd"/>
      <w:r w:rsidR="000E5D22" w:rsidRPr="000E5D22">
        <w:rPr>
          <w:b/>
        </w:rPr>
        <w:t xml:space="preserve"> et de l’utérus pour permettre la reproduction.</w:t>
      </w:r>
      <w:r w:rsidRPr="000E5D22">
        <w:rPr>
          <w:b/>
        </w:rPr>
        <w:t xml:space="preserve"> :</w:t>
      </w:r>
    </w:p>
    <w:tbl>
      <w:tblPr>
        <w:tblStyle w:val="a"/>
        <w:tblpPr w:leftFromText="180" w:rightFromText="180" w:topFromText="180" w:bottomFromText="180" w:vertAnchor="text" w:horzAnchor="margin" w:tblpXSpec="center" w:tblpY="452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2535"/>
        <w:gridCol w:w="2535"/>
        <w:gridCol w:w="2535"/>
      </w:tblGrid>
      <w:tr w:rsidR="00AC7FDF" w:rsidTr="000E5D22">
        <w:trPr>
          <w:trHeight w:val="420"/>
        </w:trPr>
        <w:tc>
          <w:tcPr>
            <w:tcW w:w="2535" w:type="dxa"/>
            <w:vMerge w:val="restart"/>
            <w:shd w:val="clear" w:color="auto" w:fill="D9D9D9"/>
            <w:vAlign w:val="center"/>
          </w:tcPr>
          <w:p w:rsidR="00AC7FDF" w:rsidRDefault="00EF54DA" w:rsidP="000E5D22">
            <w:pPr>
              <w:widowControl w:val="0"/>
              <w:spacing w:line="240" w:lineRule="auto"/>
              <w:jc w:val="center"/>
            </w:pPr>
            <w:r>
              <w:t>Ovaires</w:t>
            </w:r>
          </w:p>
        </w:tc>
        <w:tc>
          <w:tcPr>
            <w:tcW w:w="2535" w:type="dxa"/>
            <w:shd w:val="clear" w:color="auto" w:fill="D9D9D9"/>
            <w:vAlign w:val="center"/>
          </w:tcPr>
          <w:p w:rsidR="00AC7FDF" w:rsidRDefault="00EF54DA" w:rsidP="000E5D22">
            <w:pPr>
              <w:widowControl w:val="0"/>
              <w:spacing w:line="240" w:lineRule="auto"/>
              <w:jc w:val="center"/>
            </w:pPr>
            <w:r>
              <w:t>Phase folliculaire (J0-14)</w:t>
            </w:r>
          </w:p>
        </w:tc>
        <w:tc>
          <w:tcPr>
            <w:tcW w:w="2535" w:type="dxa"/>
            <w:shd w:val="clear" w:color="auto" w:fill="D9D9D9"/>
            <w:vAlign w:val="center"/>
          </w:tcPr>
          <w:p w:rsidR="00AC7FDF" w:rsidRDefault="00EF54DA" w:rsidP="000E5D22">
            <w:pPr>
              <w:widowControl w:val="0"/>
              <w:spacing w:line="240" w:lineRule="auto"/>
              <w:jc w:val="center"/>
            </w:pPr>
            <w:r>
              <w:t xml:space="preserve">Ovulation (J14) </w:t>
            </w:r>
          </w:p>
        </w:tc>
        <w:tc>
          <w:tcPr>
            <w:tcW w:w="2535" w:type="dxa"/>
            <w:shd w:val="clear" w:color="auto" w:fill="D9D9D9"/>
            <w:vAlign w:val="center"/>
          </w:tcPr>
          <w:p w:rsidR="00AC7FDF" w:rsidRDefault="00EF54DA" w:rsidP="000E5D22">
            <w:pPr>
              <w:widowControl w:val="0"/>
              <w:spacing w:line="240" w:lineRule="auto"/>
              <w:jc w:val="center"/>
            </w:pPr>
            <w:r>
              <w:t>Phase lutéale (J15-28)</w:t>
            </w:r>
          </w:p>
        </w:tc>
      </w:tr>
      <w:tr w:rsidR="00AC7FDF" w:rsidTr="000E5D22">
        <w:trPr>
          <w:trHeight w:val="420"/>
        </w:trPr>
        <w:tc>
          <w:tcPr>
            <w:tcW w:w="2535" w:type="dxa"/>
            <w:vMerge/>
            <w:shd w:val="clear" w:color="auto" w:fill="D9D9D9"/>
            <w:vAlign w:val="center"/>
          </w:tcPr>
          <w:p w:rsidR="00AC7FDF" w:rsidRDefault="00AC7FDF" w:rsidP="000E5D22">
            <w:pPr>
              <w:widowControl w:val="0"/>
              <w:spacing w:line="240" w:lineRule="auto"/>
              <w:jc w:val="center"/>
            </w:pPr>
          </w:p>
        </w:tc>
        <w:tc>
          <w:tcPr>
            <w:tcW w:w="2535" w:type="dxa"/>
          </w:tcPr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</w:tc>
        <w:tc>
          <w:tcPr>
            <w:tcW w:w="2535" w:type="dxa"/>
          </w:tcPr>
          <w:p w:rsidR="00AC7FDF" w:rsidRDefault="00AC7FDF" w:rsidP="000E5D22">
            <w:pPr>
              <w:widowControl w:val="0"/>
              <w:spacing w:line="240" w:lineRule="auto"/>
            </w:pPr>
          </w:p>
        </w:tc>
        <w:tc>
          <w:tcPr>
            <w:tcW w:w="2535" w:type="dxa"/>
          </w:tcPr>
          <w:p w:rsidR="00AC7FDF" w:rsidRDefault="00AC7FDF" w:rsidP="000E5D22">
            <w:pPr>
              <w:widowControl w:val="0"/>
              <w:spacing w:line="240" w:lineRule="auto"/>
            </w:pPr>
          </w:p>
        </w:tc>
      </w:tr>
      <w:tr w:rsidR="00AC7FDF" w:rsidTr="000E5D22">
        <w:tc>
          <w:tcPr>
            <w:tcW w:w="2535" w:type="dxa"/>
            <w:shd w:val="clear" w:color="auto" w:fill="D9D9D9"/>
            <w:vAlign w:val="center"/>
          </w:tcPr>
          <w:p w:rsidR="00AC7FDF" w:rsidRDefault="00EF54DA" w:rsidP="000E5D22">
            <w:pPr>
              <w:widowControl w:val="0"/>
              <w:spacing w:line="240" w:lineRule="auto"/>
              <w:jc w:val="center"/>
            </w:pPr>
            <w:r>
              <w:t>Utérus (endomètre)</w:t>
            </w:r>
          </w:p>
        </w:tc>
        <w:tc>
          <w:tcPr>
            <w:tcW w:w="2535" w:type="dxa"/>
          </w:tcPr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  <w:p w:rsidR="00AC7FDF" w:rsidRDefault="00AC7FDF" w:rsidP="000E5D22">
            <w:pPr>
              <w:widowControl w:val="0"/>
              <w:spacing w:line="240" w:lineRule="auto"/>
            </w:pPr>
          </w:p>
        </w:tc>
        <w:tc>
          <w:tcPr>
            <w:tcW w:w="2535" w:type="dxa"/>
          </w:tcPr>
          <w:p w:rsidR="00AC7FDF" w:rsidRDefault="00AC7FDF" w:rsidP="000E5D22">
            <w:pPr>
              <w:widowControl w:val="0"/>
              <w:spacing w:line="240" w:lineRule="auto"/>
            </w:pPr>
          </w:p>
        </w:tc>
        <w:tc>
          <w:tcPr>
            <w:tcW w:w="2535" w:type="dxa"/>
          </w:tcPr>
          <w:p w:rsidR="00AC7FDF" w:rsidRDefault="00AC7FDF" w:rsidP="000E5D22">
            <w:pPr>
              <w:widowControl w:val="0"/>
              <w:spacing w:line="240" w:lineRule="auto"/>
            </w:pPr>
          </w:p>
        </w:tc>
      </w:tr>
    </w:tbl>
    <w:p w:rsidR="00AC7FDF" w:rsidRDefault="00EF54DA">
      <w:pPr>
        <w:ind w:left="-566"/>
        <w:jc w:val="center"/>
      </w:pPr>
      <w:r>
        <w:rPr>
          <w:b/>
          <w:u w:val="single"/>
        </w:rPr>
        <w:t>Tableau 1 :</w:t>
      </w:r>
      <w:r>
        <w:rPr>
          <w:b/>
        </w:rPr>
        <w:t xml:space="preserve"> Fonctionnement cyclique des ovaires et de l’utérus.</w:t>
      </w:r>
    </w:p>
    <w:p w:rsidR="00AC7FDF" w:rsidRDefault="00AC7FDF">
      <w:pPr>
        <w:ind w:left="-566"/>
        <w:jc w:val="both"/>
      </w:pPr>
    </w:p>
    <w:p w:rsidR="00AC7FDF" w:rsidRDefault="00AC7FDF">
      <w:pPr>
        <w:ind w:left="-566"/>
        <w:jc w:val="both"/>
      </w:pPr>
    </w:p>
    <w:p w:rsidR="000E5D22" w:rsidRDefault="000E5D22">
      <w:pPr>
        <w:ind w:left="-566"/>
        <w:jc w:val="both"/>
      </w:pPr>
    </w:p>
    <w:p w:rsidR="000E5D22" w:rsidRDefault="000E5D22">
      <w:pPr>
        <w:ind w:left="-566"/>
        <w:jc w:val="both"/>
      </w:pPr>
    </w:p>
    <w:p w:rsidR="000E5D22" w:rsidRDefault="000E5D22">
      <w:pPr>
        <w:ind w:left="-566"/>
        <w:jc w:val="both"/>
      </w:pPr>
    </w:p>
    <w:p w:rsidR="000E5D22" w:rsidRDefault="000E5D22">
      <w:pPr>
        <w:ind w:left="-566"/>
        <w:jc w:val="both"/>
      </w:pPr>
    </w:p>
    <w:p w:rsidR="000E5D22" w:rsidRDefault="000E5D22">
      <w:pPr>
        <w:ind w:left="-566"/>
        <w:jc w:val="both"/>
      </w:pPr>
    </w:p>
    <w:p w:rsidR="000E5D22" w:rsidRDefault="000E5D22" w:rsidP="000E5D22">
      <w:pPr>
        <w:jc w:val="both"/>
      </w:pPr>
    </w:p>
    <w:p w:rsidR="000E5D22" w:rsidRDefault="000E5D22" w:rsidP="000E5D22">
      <w:pPr>
        <w:jc w:val="both"/>
      </w:pPr>
    </w:p>
    <w:p w:rsidR="00AC7FDF" w:rsidRDefault="00EF54DA">
      <w:pPr>
        <w:ind w:left="-566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lastRenderedPageBreak/>
        <w:t>Document 4 :</w:t>
      </w:r>
      <w:r>
        <w:rPr>
          <w:b/>
          <w:sz w:val="26"/>
          <w:szCs w:val="26"/>
        </w:rPr>
        <w:t xml:space="preserve"> Relation entre ovaires et utérus.</w:t>
      </w:r>
    </w:p>
    <w:p w:rsidR="00AC7FDF" w:rsidRDefault="00EF54DA">
      <w:pPr>
        <w:ind w:left="-566"/>
        <w:jc w:val="both"/>
      </w:pPr>
      <w:r>
        <w:t xml:space="preserve">Les ovaires sécrètent deux hormones stéroïdes dérivées du cholestérol : les </w:t>
      </w:r>
      <w:r>
        <w:rPr>
          <w:b/>
        </w:rPr>
        <w:t>œstrogènes</w:t>
      </w:r>
      <w:r>
        <w:t xml:space="preserve"> et la </w:t>
      </w:r>
      <w:r>
        <w:rPr>
          <w:b/>
        </w:rPr>
        <w:t>progestérone</w:t>
      </w:r>
      <w:r>
        <w:t>. L’œstradiol est, parmi les œstrogènes, l’hormone la plus active.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-371474</wp:posOffset>
            </wp:positionH>
            <wp:positionV relativeFrom="paragraph">
              <wp:posOffset>476250</wp:posOffset>
            </wp:positionV>
            <wp:extent cx="6448425" cy="1899602"/>
            <wp:effectExtent l="0" t="0" r="0" b="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899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5D22" w:rsidRDefault="000E5D22">
      <w:pPr>
        <w:ind w:left="-566"/>
        <w:jc w:val="both"/>
      </w:pPr>
    </w:p>
    <w:p w:rsidR="00AC7FDF" w:rsidRPr="000E5D22" w:rsidRDefault="00EF54DA">
      <w:pPr>
        <w:ind w:left="-566"/>
        <w:jc w:val="both"/>
        <w:rPr>
          <w:b/>
        </w:rPr>
      </w:pPr>
      <w:r w:rsidRPr="000E5D22">
        <w:t xml:space="preserve">À l’aide de l’analyse du document ci-dessus (document 4), </w:t>
      </w:r>
      <w:r w:rsidRPr="000E5D22">
        <w:rPr>
          <w:b/>
        </w:rPr>
        <w:t xml:space="preserve">remplissez le tableau </w:t>
      </w:r>
      <w:r w:rsidRPr="000E5D22">
        <w:t xml:space="preserve">ci-dessous pour chaque expérience </w:t>
      </w:r>
      <w:r w:rsidR="000E5D22" w:rsidRPr="000E5D22">
        <w:rPr>
          <w:b/>
        </w:rPr>
        <w:t xml:space="preserve">afin d’interpréter les expériences et retrouver le rôle des ovaires sur le fonctionnement de </w:t>
      </w:r>
      <w:r w:rsidR="00830F17" w:rsidRPr="000E5D22">
        <w:rPr>
          <w:b/>
        </w:rPr>
        <w:t>l’utérus :</w:t>
      </w:r>
      <w:r w:rsidRPr="000E5D22">
        <w:rPr>
          <w:b/>
        </w:rPr>
        <w:t xml:space="preserve"> </w:t>
      </w:r>
    </w:p>
    <w:tbl>
      <w:tblPr>
        <w:tblStyle w:val="a0"/>
        <w:tblW w:w="10170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5"/>
        <w:gridCol w:w="8635"/>
      </w:tblGrid>
      <w:tr w:rsidR="00AC7FDF">
        <w:tc>
          <w:tcPr>
            <w:tcW w:w="15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7FDF" w:rsidRDefault="00EF5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Expérience 1 </w:t>
            </w:r>
          </w:p>
        </w:tc>
        <w:tc>
          <w:tcPr>
            <w:tcW w:w="8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C7FDF">
        <w:tc>
          <w:tcPr>
            <w:tcW w:w="15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7FDF" w:rsidRDefault="00EF5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Expérience 2</w:t>
            </w:r>
          </w:p>
        </w:tc>
        <w:tc>
          <w:tcPr>
            <w:tcW w:w="8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C7FDF">
        <w:tc>
          <w:tcPr>
            <w:tcW w:w="15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7FDF" w:rsidRDefault="00EF5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Expérience 3</w:t>
            </w:r>
          </w:p>
        </w:tc>
        <w:tc>
          <w:tcPr>
            <w:tcW w:w="8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C7FDF">
        <w:tc>
          <w:tcPr>
            <w:tcW w:w="15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7FDF" w:rsidRDefault="00EF5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Expérience 4 </w:t>
            </w:r>
          </w:p>
        </w:tc>
        <w:tc>
          <w:tcPr>
            <w:tcW w:w="8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7FDF" w:rsidRDefault="00AC7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AC7FDF" w:rsidRDefault="00EF54DA">
      <w:pPr>
        <w:ind w:left="-566"/>
        <w:jc w:val="center"/>
      </w:pPr>
      <w:r>
        <w:rPr>
          <w:b/>
          <w:u w:val="single"/>
        </w:rPr>
        <w:t>Tableau 2 :</w:t>
      </w:r>
      <w:r>
        <w:rPr>
          <w:b/>
        </w:rPr>
        <w:t xml:space="preserve"> Analyse des expériences ci-dessus.</w:t>
      </w:r>
    </w:p>
    <w:p w:rsidR="00AC7FDF" w:rsidRDefault="00AC7FDF">
      <w:pPr>
        <w:jc w:val="both"/>
      </w:pPr>
    </w:p>
    <w:p w:rsidR="00AC7FDF" w:rsidRDefault="00AC7FDF">
      <w:pPr>
        <w:ind w:left="-566"/>
        <w:jc w:val="both"/>
      </w:pPr>
    </w:p>
    <w:p w:rsidR="003E6362" w:rsidRDefault="003E6362">
      <w:pPr>
        <w:ind w:left="-566"/>
        <w:jc w:val="both"/>
      </w:pPr>
    </w:p>
    <w:p w:rsidR="003E6362" w:rsidRDefault="003E6362">
      <w:pPr>
        <w:ind w:left="-566"/>
        <w:jc w:val="both"/>
      </w:pPr>
    </w:p>
    <w:p w:rsidR="003E6362" w:rsidRDefault="003E6362">
      <w:pPr>
        <w:ind w:left="-566"/>
        <w:jc w:val="both"/>
      </w:pPr>
    </w:p>
    <w:p w:rsidR="003E6362" w:rsidRDefault="003E6362">
      <w:pPr>
        <w:ind w:left="-566"/>
        <w:jc w:val="both"/>
      </w:pPr>
    </w:p>
    <w:p w:rsidR="003E6362" w:rsidRDefault="003E6362">
      <w:pPr>
        <w:ind w:left="-566"/>
        <w:jc w:val="both"/>
      </w:pPr>
    </w:p>
    <w:p w:rsidR="003E6362" w:rsidRDefault="003E6362">
      <w:pPr>
        <w:ind w:left="-566"/>
        <w:jc w:val="both"/>
      </w:pPr>
    </w:p>
    <w:p w:rsidR="000E5D22" w:rsidRDefault="000E5D22">
      <w:pPr>
        <w:ind w:left="-566"/>
        <w:jc w:val="both"/>
      </w:pPr>
    </w:p>
    <w:p w:rsidR="00AC7FDF" w:rsidRDefault="00EF54DA">
      <w:pPr>
        <w:ind w:left="-566"/>
        <w:jc w:val="both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lastRenderedPageBreak/>
        <w:t>Document 5 :</w:t>
      </w:r>
      <w:r>
        <w:rPr>
          <w:b/>
          <w:sz w:val="26"/>
          <w:szCs w:val="26"/>
        </w:rPr>
        <w:t xml:space="preserve"> Vidéo de régulation des cycles ovarien et utérin.</w:t>
      </w:r>
    </w:p>
    <w:p w:rsidR="00AC7FDF" w:rsidRDefault="00EF54DA">
      <w:pPr>
        <w:ind w:left="-566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Vidéo :</w:t>
      </w:r>
      <w:r>
        <w:rPr>
          <w:sz w:val="26"/>
          <w:szCs w:val="26"/>
        </w:rPr>
        <w:t xml:space="preserve"> </w:t>
      </w:r>
      <w:hyperlink r:id="rId11">
        <w:r>
          <w:rPr>
            <w:color w:val="1155CC"/>
            <w:sz w:val="26"/>
            <w:szCs w:val="26"/>
            <w:u w:val="single"/>
          </w:rPr>
          <w:t>https://youtu.be/7P3ahyT6lYQ</w:t>
        </w:r>
      </w:hyperlink>
      <w:r>
        <w:rPr>
          <w:sz w:val="26"/>
          <w:szCs w:val="26"/>
        </w:rPr>
        <w:t>.</w:t>
      </w:r>
    </w:p>
    <w:p w:rsidR="00AC7FDF" w:rsidRDefault="00AC7FDF">
      <w:pPr>
        <w:ind w:left="-566"/>
        <w:jc w:val="both"/>
      </w:pPr>
    </w:p>
    <w:p w:rsidR="00AC7FDF" w:rsidRDefault="00AC7FDF">
      <w:pPr>
        <w:ind w:left="-566"/>
        <w:jc w:val="both"/>
      </w:pPr>
    </w:p>
    <w:p w:rsidR="00AC7FDF" w:rsidRDefault="003E6362">
      <w:pPr>
        <w:ind w:left="-566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-161926</wp:posOffset>
            </wp:positionH>
            <wp:positionV relativeFrom="paragraph">
              <wp:posOffset>4341495</wp:posOffset>
            </wp:positionV>
            <wp:extent cx="5610225" cy="3895725"/>
            <wp:effectExtent l="0" t="0" r="9525" b="9525"/>
            <wp:wrapNone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43" cy="3896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-352425</wp:posOffset>
            </wp:positionH>
            <wp:positionV relativeFrom="paragraph">
              <wp:posOffset>541020</wp:posOffset>
            </wp:positionV>
            <wp:extent cx="5915025" cy="3600450"/>
            <wp:effectExtent l="0" t="0" r="9525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4DA">
        <w:rPr>
          <w:b/>
          <w:sz w:val="26"/>
          <w:szCs w:val="26"/>
          <w:u w:val="single"/>
        </w:rPr>
        <w:t>Document 6 :</w:t>
      </w:r>
      <w:r w:rsidR="00EF54DA">
        <w:rPr>
          <w:b/>
          <w:sz w:val="26"/>
          <w:szCs w:val="26"/>
        </w:rPr>
        <w:t xml:space="preserve"> Variation du taux plasmatique en hormones ovariennes (</w:t>
      </w:r>
      <w:proofErr w:type="spellStart"/>
      <w:r w:rsidR="00EF54DA">
        <w:rPr>
          <w:b/>
          <w:sz w:val="26"/>
          <w:szCs w:val="26"/>
        </w:rPr>
        <w:t>oestrogène</w:t>
      </w:r>
      <w:proofErr w:type="spellEnd"/>
      <w:r w:rsidR="00EF54DA">
        <w:rPr>
          <w:b/>
          <w:sz w:val="26"/>
          <w:szCs w:val="26"/>
        </w:rPr>
        <w:t xml:space="preserve"> et progestérone), et hypophysaire (LH </w:t>
      </w:r>
      <w:proofErr w:type="gramStart"/>
      <w:r w:rsidR="00EF54DA">
        <w:rPr>
          <w:b/>
          <w:sz w:val="26"/>
          <w:szCs w:val="26"/>
        </w:rPr>
        <w:t>et  FSH</w:t>
      </w:r>
      <w:proofErr w:type="gramEnd"/>
      <w:r w:rsidR="00EF54DA">
        <w:rPr>
          <w:b/>
          <w:sz w:val="26"/>
          <w:szCs w:val="26"/>
        </w:rPr>
        <w:t xml:space="preserve">) </w:t>
      </w:r>
    </w:p>
    <w:p w:rsidR="00AC7FDF" w:rsidRDefault="00EF54DA">
      <w:pPr>
        <w:jc w:val="both"/>
      </w:pPr>
      <w:bookmarkStart w:id="0" w:name="_GoBack"/>
      <w:r>
        <w:rPr>
          <w:noProof/>
        </w:rPr>
        <w:lastRenderedPageBreak/>
        <w:drawing>
          <wp:inline distT="114300" distB="114300" distL="114300" distR="114300">
            <wp:extent cx="6096000" cy="438531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8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AC7FDF" w:rsidRDefault="00AC7FDF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0E5D22">
      <w:pPr>
        <w:ind w:left="-566"/>
        <w:jc w:val="both"/>
        <w:rPr>
          <w:u w:val="single"/>
        </w:rPr>
      </w:pPr>
    </w:p>
    <w:p w:rsidR="000E5D22" w:rsidRDefault="00EF54DA">
      <w:pPr>
        <w:ind w:left="-566"/>
        <w:jc w:val="both"/>
      </w:pPr>
      <w:r w:rsidRPr="000E5D22">
        <w:lastRenderedPageBreak/>
        <w:t xml:space="preserve">A l'aide des informations issues de l'ensemble des documents, compléter le </w:t>
      </w:r>
      <w:r w:rsidRPr="000E5D22">
        <w:rPr>
          <w:b/>
        </w:rPr>
        <w:t>schéma bilan</w:t>
      </w:r>
      <w:r w:rsidRPr="000E5D22">
        <w:t xml:space="preserve"> sur la régulation hormonale du cycle féminin. </w:t>
      </w:r>
    </w:p>
    <w:p w:rsidR="000E5D22" w:rsidRDefault="00EF54DA">
      <w:pPr>
        <w:ind w:left="-566"/>
        <w:jc w:val="both"/>
      </w:pPr>
      <w:r w:rsidRPr="000E5D22">
        <w:t xml:space="preserve">Quelles hormones sont impliquées ? </w:t>
      </w:r>
    </w:p>
    <w:p w:rsidR="000E5D22" w:rsidRDefault="00EF54DA">
      <w:pPr>
        <w:ind w:left="-566"/>
        <w:jc w:val="both"/>
      </w:pPr>
      <w:r w:rsidRPr="000E5D22">
        <w:t xml:space="preserve">Par qui sont-elles produites ? </w:t>
      </w:r>
    </w:p>
    <w:p w:rsidR="000E5D22" w:rsidRDefault="00EF54DA">
      <w:pPr>
        <w:ind w:left="-566"/>
        <w:jc w:val="both"/>
      </w:pPr>
      <w:r w:rsidRPr="000E5D22">
        <w:t xml:space="preserve">Quelles sont leurs actions ? </w:t>
      </w:r>
    </w:p>
    <w:p w:rsidR="00AC7FDF" w:rsidRPr="000E5D22" w:rsidRDefault="00EF54DA">
      <w:pPr>
        <w:ind w:left="-566"/>
        <w:jc w:val="both"/>
      </w:pPr>
      <w:r w:rsidRPr="000E5D22">
        <w:t xml:space="preserve">Sur quels organes ont-elles un impact ? </w:t>
      </w:r>
    </w:p>
    <w:p w:rsidR="00AC7FDF" w:rsidRPr="000E5D22" w:rsidRDefault="00AC7FDF">
      <w:pPr>
        <w:ind w:left="-566"/>
        <w:jc w:val="both"/>
      </w:pPr>
    </w:p>
    <w:p w:rsidR="00AC7FDF" w:rsidRDefault="000E5D22">
      <w:pPr>
        <w:ind w:left="-566"/>
        <w:jc w:val="both"/>
        <w:rPr>
          <w:u w:val="single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170180</wp:posOffset>
            </wp:positionH>
            <wp:positionV relativeFrom="paragraph">
              <wp:posOffset>368935</wp:posOffset>
            </wp:positionV>
            <wp:extent cx="5643245" cy="7178675"/>
            <wp:effectExtent l="0" t="0" r="0" b="3175"/>
            <wp:wrapSquare wrapText="bothSides" distT="114300" distB="114300" distL="114300" distR="1143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717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FDF">
      <w:footerReference w:type="default" r:id="rId16"/>
      <w:headerReference w:type="first" r:id="rId17"/>
      <w:footerReference w:type="first" r:id="rId18"/>
      <w:pgSz w:w="11909" w:h="16834"/>
      <w:pgMar w:top="1133" w:right="838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693B" w:rsidRDefault="00DA693B">
      <w:pPr>
        <w:spacing w:line="240" w:lineRule="auto"/>
      </w:pPr>
      <w:r>
        <w:separator/>
      </w:r>
    </w:p>
  </w:endnote>
  <w:endnote w:type="continuationSeparator" w:id="0">
    <w:p w:rsidR="00DA693B" w:rsidRDefault="00DA69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FDF" w:rsidRDefault="00EF54DA">
    <w:pPr>
      <w:jc w:val="right"/>
    </w:pPr>
    <w:r>
      <w:fldChar w:fldCharType="begin"/>
    </w:r>
    <w:r>
      <w:instrText>PAGE</w:instrText>
    </w:r>
    <w:r>
      <w:fldChar w:fldCharType="separate"/>
    </w:r>
    <w:r w:rsidR="000E5D2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FDF" w:rsidRDefault="00EF54DA">
    <w:pPr>
      <w:ind w:left="8640" w:firstLine="720"/>
    </w:pPr>
    <w:r>
      <w:fldChar w:fldCharType="begin"/>
    </w:r>
    <w:r>
      <w:instrText>PAGE</w:instrText>
    </w:r>
    <w:r>
      <w:fldChar w:fldCharType="separate"/>
    </w:r>
    <w:r w:rsidR="000E5D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693B" w:rsidRDefault="00DA693B">
      <w:pPr>
        <w:spacing w:line="240" w:lineRule="auto"/>
      </w:pPr>
      <w:r>
        <w:separator/>
      </w:r>
    </w:p>
  </w:footnote>
  <w:footnote w:type="continuationSeparator" w:id="0">
    <w:p w:rsidR="00DA693B" w:rsidRDefault="00DA69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FDF" w:rsidRDefault="00EF54DA">
    <w:r>
      <w:rPr>
        <w:noProof/>
      </w:rPr>
      <w:drawing>
        <wp:anchor distT="0" distB="302400" distL="914400" distR="914400" simplePos="0" relativeHeight="251658240" behindDoc="0" locked="0" layoutInCell="1" hidden="0" allowOverlap="1">
          <wp:simplePos x="0" y="0"/>
          <wp:positionH relativeFrom="column">
            <wp:posOffset>-641349</wp:posOffset>
          </wp:positionH>
          <wp:positionV relativeFrom="paragraph">
            <wp:posOffset>-174624</wp:posOffset>
          </wp:positionV>
          <wp:extent cx="6975475" cy="2119365"/>
          <wp:effectExtent l="0" t="0" r="0" b="0"/>
          <wp:wrapNone/>
          <wp:docPr id="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5475" cy="2119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C7FDF" w:rsidRDefault="00AC7FD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FDF"/>
    <w:rsid w:val="000E5D22"/>
    <w:rsid w:val="003E6362"/>
    <w:rsid w:val="00830F17"/>
    <w:rsid w:val="00AC7FDF"/>
    <w:rsid w:val="00DA693B"/>
    <w:rsid w:val="00E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D3BD1"/>
  <w15:docId w15:val="{682C884B-21C0-4E3D-91B3-A6154BD1F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7P3ahyT6lYQ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 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Sophie BOUTIN-PUECH</cp:lastModifiedBy>
  <cp:revision>3</cp:revision>
  <dcterms:created xsi:type="dcterms:W3CDTF">2025-04-04T07:04:00Z</dcterms:created>
  <dcterms:modified xsi:type="dcterms:W3CDTF">2025-05-05T05:50:00Z</dcterms:modified>
</cp:coreProperties>
</file>