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pPr w:leftFromText="141" w:rightFromText="141" w:horzAnchor="margin" w:tblpXSpec="center" w:tblpY="-1125"/>
        <w:tblW w:w="11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19"/>
        <w:gridCol w:w="2304"/>
        <w:gridCol w:w="7016"/>
      </w:tblGrid>
      <w:tr w:rsidR="00645349" w14:paraId="57B944A1" w14:textId="77777777" w:rsidTr="00645349">
        <w:trPr>
          <w:trHeight w:val="342"/>
        </w:trPr>
        <w:tc>
          <w:tcPr>
            <w:tcW w:w="2304" w:type="dxa"/>
            <w:gridSpan w:val="2"/>
          </w:tcPr>
          <w:p w14:paraId="1E8144DC" w14:textId="77777777" w:rsidR="00645349" w:rsidRDefault="00645349" w:rsidP="00645349">
            <w:pPr>
              <w:pStyle w:val="TableParagraph"/>
              <w:ind w:left="563"/>
              <w:rPr>
                <w:b/>
                <w:sz w:val="28"/>
              </w:rPr>
            </w:pPr>
            <w:proofErr w:type="spellStart"/>
            <w:r>
              <w:rPr>
                <w:b/>
                <w:sz w:val="28"/>
              </w:rPr>
              <w:t>Terminale</w:t>
            </w:r>
            <w:proofErr w:type="spellEnd"/>
          </w:p>
        </w:tc>
        <w:tc>
          <w:tcPr>
            <w:tcW w:w="2304" w:type="dxa"/>
          </w:tcPr>
          <w:p w14:paraId="603B7B7E" w14:textId="77777777" w:rsidR="00645349" w:rsidRDefault="00645349" w:rsidP="00645349">
            <w:pPr>
              <w:pStyle w:val="TableParagraph"/>
              <w:ind w:left="650"/>
              <w:rPr>
                <w:b/>
                <w:sz w:val="28"/>
              </w:rPr>
            </w:pPr>
            <w:proofErr w:type="spellStart"/>
            <w:r>
              <w:rPr>
                <w:b/>
                <w:sz w:val="28"/>
              </w:rPr>
              <w:t>Thème</w:t>
            </w:r>
            <w:proofErr w:type="spellEnd"/>
            <w:r>
              <w:rPr>
                <w:b/>
                <w:spacing w:val="-1"/>
                <w:sz w:val="28"/>
              </w:rPr>
              <w:t xml:space="preserve"> </w:t>
            </w:r>
            <w:r>
              <w:rPr>
                <w:b/>
                <w:sz w:val="28"/>
              </w:rPr>
              <w:t>2</w:t>
            </w:r>
          </w:p>
        </w:tc>
        <w:tc>
          <w:tcPr>
            <w:tcW w:w="7016" w:type="dxa"/>
            <w:vMerge w:val="restart"/>
          </w:tcPr>
          <w:p w14:paraId="64FD8D3A" w14:textId="77777777" w:rsidR="00645349" w:rsidRDefault="00645349" w:rsidP="00645349">
            <w:pPr>
              <w:pStyle w:val="TableParagraph"/>
              <w:spacing w:line="341" w:lineRule="exact"/>
              <w:ind w:left="598" w:right="586"/>
              <w:jc w:val="center"/>
              <w:rPr>
                <w:b/>
                <w:sz w:val="28"/>
              </w:rPr>
            </w:pPr>
            <w:proofErr w:type="spellStart"/>
            <w:r>
              <w:rPr>
                <w:b/>
                <w:sz w:val="28"/>
              </w:rPr>
              <w:t>Activité</w:t>
            </w:r>
            <w:proofErr w:type="spellEnd"/>
            <w:r>
              <w:rPr>
                <w:b/>
                <w:spacing w:val="-2"/>
                <w:sz w:val="28"/>
              </w:rPr>
              <w:t xml:space="preserve"> </w:t>
            </w:r>
            <w:proofErr w:type="gramStart"/>
            <w:r>
              <w:rPr>
                <w:b/>
                <w:sz w:val="28"/>
              </w:rPr>
              <w:t>1</w:t>
            </w:r>
            <w:r>
              <w:rPr>
                <w:b/>
                <w:spacing w:val="-3"/>
                <w:sz w:val="28"/>
              </w:rPr>
              <w:t xml:space="preserve"> </w:t>
            </w:r>
            <w:r>
              <w:rPr>
                <w:b/>
                <w:sz w:val="28"/>
              </w:rPr>
              <w:t>:</w:t>
            </w:r>
            <w:proofErr w:type="gramEnd"/>
            <w:r>
              <w:rPr>
                <w:b/>
                <w:spacing w:val="-3"/>
                <w:sz w:val="28"/>
              </w:rPr>
              <w:t xml:space="preserve"> </w:t>
            </w:r>
            <w:r>
              <w:rPr>
                <w:b/>
                <w:sz w:val="28"/>
              </w:rPr>
              <w:t>Le</w:t>
            </w:r>
            <w:r>
              <w:rPr>
                <w:b/>
                <w:spacing w:val="-1"/>
                <w:sz w:val="28"/>
              </w:rPr>
              <w:t xml:space="preserve"> </w:t>
            </w:r>
            <w:proofErr w:type="spellStart"/>
            <w:r>
              <w:rPr>
                <w:b/>
                <w:sz w:val="28"/>
              </w:rPr>
              <w:t>recensement</w:t>
            </w:r>
            <w:proofErr w:type="spellEnd"/>
            <w:r>
              <w:rPr>
                <w:b/>
                <w:spacing w:val="-2"/>
                <w:sz w:val="28"/>
              </w:rPr>
              <w:t xml:space="preserve"> </w:t>
            </w:r>
            <w:r>
              <w:rPr>
                <w:b/>
                <w:sz w:val="28"/>
              </w:rPr>
              <w:t>de</w:t>
            </w:r>
            <w:r>
              <w:rPr>
                <w:b/>
                <w:spacing w:val="-1"/>
                <w:sz w:val="28"/>
              </w:rPr>
              <w:t xml:space="preserve"> </w:t>
            </w:r>
            <w:r>
              <w:rPr>
                <w:b/>
                <w:sz w:val="28"/>
              </w:rPr>
              <w:t>la</w:t>
            </w:r>
            <w:r>
              <w:rPr>
                <w:b/>
                <w:spacing w:val="-1"/>
                <w:sz w:val="28"/>
              </w:rPr>
              <w:t xml:space="preserve"> </w:t>
            </w:r>
            <w:proofErr w:type="spellStart"/>
            <w:r>
              <w:rPr>
                <w:b/>
                <w:sz w:val="28"/>
              </w:rPr>
              <w:t>biodiversité</w:t>
            </w:r>
            <w:proofErr w:type="spellEnd"/>
            <w:r>
              <w:rPr>
                <w:b/>
                <w:spacing w:val="-1"/>
                <w:sz w:val="28"/>
              </w:rPr>
              <w:t xml:space="preserve"> </w:t>
            </w:r>
            <w:r>
              <w:rPr>
                <w:b/>
                <w:sz w:val="28"/>
              </w:rPr>
              <w:t>d’un</w:t>
            </w:r>
          </w:p>
          <w:p w14:paraId="6E1FDEF5" w14:textId="77777777" w:rsidR="00645349" w:rsidRDefault="00645349" w:rsidP="00645349">
            <w:pPr>
              <w:pStyle w:val="TableParagraph"/>
              <w:spacing w:before="1" w:line="330" w:lineRule="exact"/>
              <w:ind w:left="596" w:right="586"/>
              <w:jc w:val="center"/>
              <w:rPr>
                <w:b/>
                <w:sz w:val="28"/>
              </w:rPr>
            </w:pPr>
            <w:proofErr w:type="spellStart"/>
            <w:r>
              <w:rPr>
                <w:b/>
                <w:sz w:val="28"/>
              </w:rPr>
              <w:t>écosystème</w:t>
            </w:r>
            <w:proofErr w:type="spellEnd"/>
            <w:r>
              <w:rPr>
                <w:b/>
                <w:sz w:val="28"/>
              </w:rPr>
              <w:t>.</w:t>
            </w:r>
          </w:p>
        </w:tc>
      </w:tr>
      <w:tr w:rsidR="00645349" w14:paraId="60CC1D2B" w14:textId="77777777" w:rsidTr="00645349">
        <w:trPr>
          <w:trHeight w:val="340"/>
        </w:trPr>
        <w:tc>
          <w:tcPr>
            <w:tcW w:w="4608" w:type="dxa"/>
            <w:gridSpan w:val="3"/>
          </w:tcPr>
          <w:p w14:paraId="798AB66B" w14:textId="42705299" w:rsidR="00645349" w:rsidRDefault="00645349" w:rsidP="00645349">
            <w:pPr>
              <w:pStyle w:val="TableParagraph"/>
              <w:spacing w:line="320" w:lineRule="exact"/>
              <w:ind w:left="1702" w:right="1658"/>
              <w:jc w:val="center"/>
              <w:rPr>
                <w:b/>
                <w:sz w:val="28"/>
              </w:rPr>
            </w:pPr>
            <w:proofErr w:type="spellStart"/>
            <w:r>
              <w:rPr>
                <w:b/>
                <w:sz w:val="28"/>
              </w:rPr>
              <w:t>Chapitre</w:t>
            </w:r>
            <w:proofErr w:type="spellEnd"/>
            <w:r>
              <w:rPr>
                <w:b/>
                <w:spacing w:val="-1"/>
                <w:sz w:val="28"/>
              </w:rPr>
              <w:t xml:space="preserve"> </w:t>
            </w:r>
            <w:r>
              <w:rPr>
                <w:b/>
                <w:sz w:val="28"/>
              </w:rPr>
              <w:t>2</w:t>
            </w:r>
          </w:p>
        </w:tc>
        <w:tc>
          <w:tcPr>
            <w:tcW w:w="7016" w:type="dxa"/>
            <w:vMerge/>
            <w:tcBorders>
              <w:top w:val="nil"/>
            </w:tcBorders>
          </w:tcPr>
          <w:p w14:paraId="59851038" w14:textId="77777777" w:rsidR="00645349" w:rsidRDefault="00645349" w:rsidP="00645349">
            <w:pPr>
              <w:rPr>
                <w:sz w:val="2"/>
                <w:szCs w:val="2"/>
              </w:rPr>
            </w:pPr>
          </w:p>
        </w:tc>
      </w:tr>
      <w:tr w:rsidR="00645349" w14:paraId="1D99E313" w14:textId="77777777" w:rsidTr="00646C73">
        <w:trPr>
          <w:trHeight w:val="1270"/>
        </w:trPr>
        <w:tc>
          <w:tcPr>
            <w:tcW w:w="1985" w:type="dxa"/>
          </w:tcPr>
          <w:p w14:paraId="1187D8E2" w14:textId="0E49F5A9" w:rsidR="00645349" w:rsidRDefault="00646C73" w:rsidP="00645349">
            <w:pPr>
              <w:pStyle w:val="TableParagraph"/>
              <w:spacing w:line="240" w:lineRule="auto"/>
              <w:ind w:left="798"/>
              <w:rPr>
                <w:rFonts w:ascii="Times New Roman"/>
                <w:sz w:val="20"/>
              </w:rPr>
            </w:pPr>
            <w:r>
              <w:rPr>
                <w:noProof/>
              </w:rPr>
              <mc:AlternateContent>
                <mc:Choice Requires="wps">
                  <w:drawing>
                    <wp:anchor distT="45720" distB="45720" distL="114300" distR="114300" simplePos="0" relativeHeight="251659264" behindDoc="0" locked="0" layoutInCell="1" allowOverlap="1" wp14:anchorId="466205FF" wp14:editId="1A2ABE89">
                      <wp:simplePos x="0" y="0"/>
                      <wp:positionH relativeFrom="column">
                        <wp:posOffset>126365</wp:posOffset>
                      </wp:positionH>
                      <wp:positionV relativeFrom="paragraph">
                        <wp:posOffset>29845</wp:posOffset>
                      </wp:positionV>
                      <wp:extent cx="771525" cy="587375"/>
                      <wp:effectExtent l="19050" t="19050" r="28575" b="22225"/>
                      <wp:wrapSquare wrapText="bothSides"/>
                      <wp:docPr id="12550238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8737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1D572A57" w14:textId="77777777" w:rsidR="00646C73" w:rsidRDefault="00646C73" w:rsidP="00646C73">
                                  <w:pPr>
                                    <w:rPr>
                                      <w:noProof/>
                                    </w:rPr>
                                  </w:pPr>
                                  <w:r>
                                    <w:rPr>
                                      <w:noProof/>
                                      <w14:ligatures w14:val="standardContextual"/>
                                    </w:rPr>
                                    <w:drawing>
                                      <wp:inline distT="0" distB="0" distL="0" distR="0" wp14:anchorId="21808C03" wp14:editId="67FA3312">
                                        <wp:extent cx="571500" cy="530652"/>
                                        <wp:effectExtent l="0" t="0" r="0" b="3175"/>
                                        <wp:docPr id="75429744" name="Image 7542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22708" name=""/>
                                                <pic:cNvPicPr/>
                                              </pic:nvPicPr>
                                              <pic:blipFill>
                                                <a:blip r:embed="rId5"/>
                                                <a:stretch>
                                                  <a:fillRect/>
                                                </a:stretch>
                                              </pic:blipFill>
                                              <pic:spPr>
                                                <a:xfrm>
                                                  <a:off x="0" y="0"/>
                                                  <a:ext cx="584486" cy="542710"/>
                                                </a:xfrm>
                                                <a:prstGeom prst="rect">
                                                  <a:avLst/>
                                                </a:prstGeom>
                                              </pic:spPr>
                                            </pic:pic>
                                          </a:graphicData>
                                        </a:graphic>
                                      </wp:inline>
                                    </w:drawing>
                                  </w:r>
                                </w:p>
                                <w:p w14:paraId="34000C58" w14:textId="77777777" w:rsidR="00646C73" w:rsidRDefault="00646C73" w:rsidP="00646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205FF" id="_x0000_t202" coordsize="21600,21600" o:spt="202" path="m,l,21600r21600,l21600,xe">
                      <v:stroke joinstyle="miter"/>
                      <v:path gradientshapeok="t" o:connecttype="rect"/>
                    </v:shapetype>
                    <v:shape id="Zone de texte 2" o:spid="_x0000_s1026" type="#_x0000_t202" style="position:absolute;left:0;text-align:left;margin-left:9.95pt;margin-top:2.35pt;width:60.75pt;height:4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" fillcolor="white [3201]" strokecolor="black [3200]" strokeweight="3pt">
                      <v:textbox>
                        <w:txbxContent>
                          <w:p w14:paraId="1D572A57" w14:textId="77777777" w:rsidR="00646C73" w:rsidRDefault="00646C73" w:rsidP="00646C73">
                            <w:pPr>
                              <w:rPr>
                                <w:noProof/>
                              </w:rPr>
                            </w:pPr>
                            <w:r>
                              <w:rPr>
                                <w:noProof/>
                                <w14:ligatures w14:val="standardContextual"/>
                              </w:rPr>
                              <w:drawing>
                                <wp:inline distT="0" distB="0" distL="0" distR="0" wp14:anchorId="21808C03" wp14:editId="67FA3312">
                                  <wp:extent cx="571500" cy="530652"/>
                                  <wp:effectExtent l="0" t="0" r="0" b="3175"/>
                                  <wp:docPr id="75429744" name="Image 7542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22708" name=""/>
                                          <pic:cNvPicPr/>
                                        </pic:nvPicPr>
                                        <pic:blipFill>
                                          <a:blip r:embed="rId6"/>
                                          <a:stretch>
                                            <a:fillRect/>
                                          </a:stretch>
                                        </pic:blipFill>
                                        <pic:spPr>
                                          <a:xfrm>
                                            <a:off x="0" y="0"/>
                                            <a:ext cx="584486" cy="542710"/>
                                          </a:xfrm>
                                          <a:prstGeom prst="rect">
                                            <a:avLst/>
                                          </a:prstGeom>
                                        </pic:spPr>
                                      </pic:pic>
                                    </a:graphicData>
                                  </a:graphic>
                                </wp:inline>
                              </w:drawing>
                            </w:r>
                          </w:p>
                          <w:p w14:paraId="34000C58" w14:textId="77777777" w:rsidR="00646C73" w:rsidRDefault="00646C73" w:rsidP="00646C73"/>
                        </w:txbxContent>
                      </v:textbox>
                      <w10:wrap type="square"/>
                    </v:shape>
                  </w:pict>
                </mc:Fallback>
              </mc:AlternateContent>
            </w:r>
          </w:p>
        </w:tc>
        <w:tc>
          <w:tcPr>
            <w:tcW w:w="9639" w:type="dxa"/>
            <w:gridSpan w:val="3"/>
          </w:tcPr>
          <w:p w14:paraId="23981CE9" w14:textId="77777777" w:rsidR="00645349" w:rsidRDefault="00645349" w:rsidP="00645349">
            <w:pPr>
              <w:pStyle w:val="TableParagraph"/>
              <w:spacing w:line="243" w:lineRule="exact"/>
              <w:rPr>
                <w:i/>
                <w:sz w:val="20"/>
              </w:rPr>
            </w:pPr>
            <w:proofErr w:type="spellStart"/>
            <w:r>
              <w:rPr>
                <w:b/>
                <w:sz w:val="20"/>
                <w:u w:val="single"/>
              </w:rPr>
              <w:t>Compétences</w:t>
            </w:r>
            <w:proofErr w:type="spellEnd"/>
            <w:r>
              <w:rPr>
                <w:b/>
                <w:spacing w:val="-5"/>
                <w:sz w:val="20"/>
                <w:u w:val="single"/>
              </w:rPr>
              <w:t xml:space="preserve"> </w:t>
            </w:r>
            <w:proofErr w:type="spellStart"/>
            <w:proofErr w:type="gramStart"/>
            <w:r>
              <w:rPr>
                <w:b/>
                <w:sz w:val="20"/>
                <w:u w:val="single"/>
              </w:rPr>
              <w:t>travaillées</w:t>
            </w:r>
            <w:proofErr w:type="spellEnd"/>
            <w:r>
              <w:rPr>
                <w:b/>
                <w:spacing w:val="-1"/>
                <w:sz w:val="20"/>
                <w:u w:val="single"/>
              </w:rPr>
              <w:t xml:space="preserve"> </w:t>
            </w:r>
            <w:r>
              <w:rPr>
                <w:b/>
                <w:sz w:val="20"/>
                <w:u w:val="single"/>
              </w:rPr>
              <w:t>:</w:t>
            </w:r>
            <w:proofErr w:type="gramEnd"/>
            <w:r>
              <w:rPr>
                <w:b/>
                <w:spacing w:val="-4"/>
                <w:sz w:val="20"/>
              </w:rPr>
              <w:t xml:space="preserve"> </w:t>
            </w:r>
            <w:proofErr w:type="spellStart"/>
            <w:r>
              <w:rPr>
                <w:i/>
                <w:sz w:val="20"/>
              </w:rPr>
              <w:t>Réaliser</w:t>
            </w:r>
            <w:proofErr w:type="spellEnd"/>
            <w:r>
              <w:rPr>
                <w:i/>
                <w:spacing w:val="-6"/>
                <w:sz w:val="20"/>
              </w:rPr>
              <w:t xml:space="preserve"> </w:t>
            </w:r>
            <w:proofErr w:type="spellStart"/>
            <w:r>
              <w:rPr>
                <w:i/>
                <w:sz w:val="20"/>
              </w:rPr>
              <w:t>une</w:t>
            </w:r>
            <w:proofErr w:type="spellEnd"/>
            <w:r>
              <w:rPr>
                <w:i/>
                <w:spacing w:val="-4"/>
                <w:sz w:val="20"/>
              </w:rPr>
              <w:t xml:space="preserve"> </w:t>
            </w:r>
            <w:r>
              <w:rPr>
                <w:i/>
                <w:sz w:val="20"/>
              </w:rPr>
              <w:t>recherche</w:t>
            </w:r>
            <w:r>
              <w:rPr>
                <w:i/>
                <w:spacing w:val="-4"/>
                <w:sz w:val="20"/>
              </w:rPr>
              <w:t xml:space="preserve"> </w:t>
            </w:r>
            <w:proofErr w:type="spellStart"/>
            <w:r>
              <w:rPr>
                <w:i/>
                <w:sz w:val="20"/>
              </w:rPr>
              <w:t>documentaire</w:t>
            </w:r>
            <w:proofErr w:type="spellEnd"/>
            <w:r>
              <w:rPr>
                <w:i/>
                <w:sz w:val="20"/>
              </w:rPr>
              <w:t>.</w:t>
            </w:r>
          </w:p>
        </w:tc>
      </w:tr>
    </w:tbl>
    <w:p w14:paraId="561E036D" w14:textId="77777777" w:rsidR="00645349" w:rsidRDefault="00645349"/>
    <w:p w14:paraId="2585E9E1" w14:textId="77777777" w:rsidR="00645349" w:rsidRPr="00645349" w:rsidRDefault="00645349" w:rsidP="00645349">
      <w:pPr>
        <w:widowControl/>
        <w:shd w:val="clear" w:color="auto" w:fill="FFFFFF"/>
        <w:autoSpaceDE/>
        <w:autoSpaceDN/>
        <w:jc w:val="both"/>
        <w:rPr>
          <w:rFonts w:ascii="Arial" w:eastAsia="Times New Roman" w:hAnsi="Arial" w:cs="Arial"/>
          <w:color w:val="002E4D"/>
          <w:sz w:val="24"/>
          <w:szCs w:val="24"/>
          <w:lang w:eastAsia="fr-FR"/>
        </w:rPr>
      </w:pPr>
      <w:r w:rsidRPr="00645349">
        <w:rPr>
          <w:rFonts w:ascii="Arial" w:eastAsia="Times New Roman" w:hAnsi="Arial" w:cs="Arial"/>
          <w:color w:val="002E4D"/>
          <w:sz w:val="24"/>
          <w:szCs w:val="24"/>
          <w:lang w:eastAsia="fr-FR"/>
        </w:rPr>
        <w:t>La biodiversité terrestre résulte d'une longue histoire évolutive et comprend les trois échelles du vivant : écosystémique, spécifique et génétique. Si 1 700 000 espèces sont connues en 2019, on estime qu'il en existerait des millions, voire des milliards.</w:t>
      </w:r>
      <w:r w:rsidRPr="00645349">
        <w:rPr>
          <w:rFonts w:ascii="Arial" w:eastAsia="Times New Roman" w:hAnsi="Arial" w:cs="Arial"/>
          <w:color w:val="002E4D"/>
          <w:sz w:val="24"/>
          <w:szCs w:val="24"/>
          <w:lang w:eastAsia="fr-FR"/>
        </w:rPr>
        <w:br/>
      </w:r>
    </w:p>
    <w:p w14:paraId="1D6A2D4A" w14:textId="77777777" w:rsidR="00645349" w:rsidRPr="00645349" w:rsidRDefault="00645349" w:rsidP="00645349">
      <w:pPr>
        <w:widowControl/>
        <w:shd w:val="clear" w:color="auto" w:fill="FFFFFF"/>
        <w:autoSpaceDE/>
        <w:autoSpaceDN/>
        <w:jc w:val="both"/>
        <w:rPr>
          <w:rFonts w:ascii="Arial" w:eastAsia="Times New Roman" w:hAnsi="Arial" w:cs="Arial"/>
          <w:color w:val="002E4D"/>
          <w:sz w:val="24"/>
          <w:szCs w:val="24"/>
          <w:lang w:eastAsia="fr-FR"/>
        </w:rPr>
      </w:pPr>
      <w:r w:rsidRPr="00645349">
        <w:rPr>
          <w:rFonts w:ascii="Arial" w:eastAsia="Times New Roman" w:hAnsi="Arial" w:cs="Arial"/>
          <w:color w:val="002E4D"/>
          <w:sz w:val="24"/>
          <w:szCs w:val="24"/>
          <w:lang w:eastAsia="fr-FR"/>
        </w:rPr>
        <w:t>Quelles méthodes permettent d'estimer la biodiversité terrestre ?</w:t>
      </w:r>
    </w:p>
    <w:p w14:paraId="0B8BCBF8" w14:textId="77777777" w:rsidR="00645349" w:rsidRDefault="00645349" w:rsidP="00645349">
      <w:pPr>
        <w:jc w:val="both"/>
      </w:pPr>
    </w:p>
    <w:p w14:paraId="012C8EF9" w14:textId="2BE43465" w:rsidR="00645349" w:rsidRPr="00DF7403" w:rsidRDefault="00645349" w:rsidP="00645349">
      <w:pPr>
        <w:pStyle w:val="Titre3"/>
        <w:shd w:val="clear" w:color="auto" w:fill="FFFFFF"/>
        <w:spacing w:before="60" w:beforeAutospacing="0" w:after="60" w:afterAutospacing="0"/>
        <w:jc w:val="both"/>
        <w:rPr>
          <w:rFonts w:ascii="Arial" w:hAnsi="Arial" w:cs="Arial"/>
          <w:color w:val="002E4D"/>
          <w:u w:val="single"/>
        </w:rPr>
      </w:pPr>
      <w:r w:rsidRPr="00DF7403">
        <w:rPr>
          <w:u w:val="single"/>
        </w:rPr>
        <w:t>Doc 1 :</w:t>
      </w:r>
      <w:r w:rsidRPr="00DF7403">
        <w:rPr>
          <w:rFonts w:ascii="Arial" w:hAnsi="Arial" w:cs="Arial"/>
          <w:b w:val="0"/>
          <w:bCs w:val="0"/>
          <w:color w:val="002E4D"/>
          <w:u w:val="single"/>
        </w:rPr>
        <w:t xml:space="preserve"> </w:t>
      </w:r>
      <w:r w:rsidRPr="00DF7403">
        <w:rPr>
          <w:rFonts w:ascii="Arial" w:hAnsi="Arial" w:cs="Arial"/>
          <w:color w:val="002E4D"/>
          <w:u w:val="single"/>
        </w:rPr>
        <w:t>Échantillonner la biodiversité spécifique</w:t>
      </w:r>
    </w:p>
    <w:p w14:paraId="0AD560A3" w14:textId="5629E2EF" w:rsidR="00645349" w:rsidRDefault="00645349" w:rsidP="00645349">
      <w:pPr>
        <w:jc w:val="both"/>
        <w:rPr>
          <w:rFonts w:ascii="Arial" w:hAnsi="Arial" w:cs="Arial"/>
          <w:color w:val="002E4D"/>
          <w:shd w:val="clear" w:color="auto" w:fill="FFFFFF"/>
        </w:rPr>
      </w:pPr>
      <w:r>
        <w:rPr>
          <w:rFonts w:ascii="Arial" w:hAnsi="Arial" w:cs="Arial"/>
          <w:color w:val="002E4D"/>
          <w:shd w:val="clear" w:color="auto" w:fill="FFFFFF"/>
        </w:rPr>
        <w:t>La </w:t>
      </w:r>
      <w:r>
        <w:rPr>
          <w:rStyle w:val="lev"/>
          <w:rFonts w:ascii="Arial" w:hAnsi="Arial" w:cs="Arial"/>
          <w:color w:val="002E4D"/>
          <w:shd w:val="clear" w:color="auto" w:fill="FFFFFF"/>
        </w:rPr>
        <w:t>richesse spécifique</w:t>
      </w:r>
      <w:r>
        <w:rPr>
          <w:rFonts w:ascii="Arial" w:hAnsi="Arial" w:cs="Arial"/>
          <w:color w:val="002E4D"/>
          <w:shd w:val="clear" w:color="auto" w:fill="FFFFFF"/>
        </w:rPr>
        <w:t> correspond au nombre d'</w:t>
      </w:r>
      <w:r>
        <w:rPr>
          <w:rStyle w:val="lev"/>
        </w:rPr>
        <w:t>espèces</w:t>
      </w:r>
      <w:r>
        <w:rPr>
          <w:rFonts w:ascii="Arial" w:hAnsi="Arial" w:cs="Arial"/>
          <w:color w:val="002E4D"/>
          <w:shd w:val="clear" w:color="auto" w:fill="FFFFFF"/>
        </w:rPr>
        <w:t> dans un milieu. Pour étudier cette biodiversité spécifique, les chercheurs disposent de plusieurs techniques comme les </w:t>
      </w:r>
      <w:r>
        <w:rPr>
          <w:rStyle w:val="lev"/>
          <w:rFonts w:ascii="Arial" w:hAnsi="Arial" w:cs="Arial"/>
          <w:color w:val="002E4D"/>
          <w:shd w:val="clear" w:color="auto" w:fill="FFFFFF"/>
        </w:rPr>
        <w:t>quadrats</w:t>
      </w:r>
      <w:r>
        <w:rPr>
          <w:rFonts w:ascii="Arial" w:hAnsi="Arial" w:cs="Arial"/>
          <w:color w:val="002E4D"/>
          <w:shd w:val="clear" w:color="auto" w:fill="FFFFFF"/>
        </w:rPr>
        <w:t> ou les transects. Un quadrat est une surface carrée ou rectangulaire au sol, dans laquelle un relevé exhaustif des espèces présentes est réalisé. Un transect est un trajet suivi dans un écosystème : on relève tous les êtres vivants observés en suivant ce transect. De 1997 à 1999, les chercheurs de la station alpine du Lautaret et du Laboratoire d'écologie alpine ont échantillonné soixante-quinze quadrats de 5 × 5 m au lieu-dit Avaro (commune de Valloire), dans le col du Galibier, une prairie alpine de 20 000 m</w:t>
      </w:r>
      <w:r>
        <w:rPr>
          <w:rFonts w:ascii="Arial" w:hAnsi="Arial" w:cs="Arial"/>
          <w:color w:val="002E4D"/>
          <w:shd w:val="clear" w:color="auto" w:fill="FFFFFF"/>
          <w:vertAlign w:val="superscript"/>
        </w:rPr>
        <w:t>2</w:t>
      </w:r>
      <w:r>
        <w:rPr>
          <w:rFonts w:ascii="Arial" w:hAnsi="Arial" w:cs="Arial"/>
          <w:color w:val="002E4D"/>
          <w:shd w:val="clear" w:color="auto" w:fill="FFFFFF"/>
        </w:rPr>
        <w:t>.</w:t>
      </w:r>
    </w:p>
    <w:p w14:paraId="1DB859D8" w14:textId="5F001F41" w:rsidR="00645349" w:rsidRDefault="00645349" w:rsidP="00645349">
      <w:pPr>
        <w:jc w:val="both"/>
        <w:rPr>
          <w:noProof/>
          <w14:ligatures w14:val="standardContextual"/>
        </w:rPr>
      </w:pPr>
      <w:r>
        <w:rPr>
          <w:noProof/>
          <w14:ligatures w14:val="standardContextual"/>
        </w:rPr>
        <w:drawing>
          <wp:inline distT="0" distB="0" distL="0" distR="0" wp14:anchorId="22BBED56" wp14:editId="1E8CD0B0">
            <wp:extent cx="4000500" cy="2902593"/>
            <wp:effectExtent l="0" t="0" r="0" b="0"/>
            <wp:docPr id="12885559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55913" name=""/>
                    <pic:cNvPicPr/>
                  </pic:nvPicPr>
                  <pic:blipFill>
                    <a:blip r:embed="rId7"/>
                    <a:stretch>
                      <a:fillRect/>
                    </a:stretch>
                  </pic:blipFill>
                  <pic:spPr>
                    <a:xfrm>
                      <a:off x="0" y="0"/>
                      <a:ext cx="4007557" cy="2907713"/>
                    </a:xfrm>
                    <a:prstGeom prst="rect">
                      <a:avLst/>
                    </a:prstGeom>
                  </pic:spPr>
                </pic:pic>
              </a:graphicData>
            </a:graphic>
          </wp:inline>
        </w:drawing>
      </w:r>
    </w:p>
    <w:p w14:paraId="7665555D" w14:textId="74DC5D7E" w:rsidR="00645349" w:rsidRDefault="00645349" w:rsidP="00645349">
      <w:pPr>
        <w:jc w:val="both"/>
      </w:pPr>
      <w:r>
        <w:rPr>
          <w:noProof/>
          <w14:ligatures w14:val="standardContextual"/>
        </w:rPr>
        <w:drawing>
          <wp:inline distT="0" distB="0" distL="0" distR="0" wp14:anchorId="277DAE0F" wp14:editId="063A0F1F">
            <wp:extent cx="4194991" cy="2657475"/>
            <wp:effectExtent l="0" t="0" r="0" b="0"/>
            <wp:docPr id="862252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52528" name=""/>
                    <pic:cNvPicPr/>
                  </pic:nvPicPr>
                  <pic:blipFill>
                    <a:blip r:embed="rId8"/>
                    <a:stretch>
                      <a:fillRect/>
                    </a:stretch>
                  </pic:blipFill>
                  <pic:spPr>
                    <a:xfrm>
                      <a:off x="0" y="0"/>
                      <a:ext cx="4197537" cy="2659088"/>
                    </a:xfrm>
                    <a:prstGeom prst="rect">
                      <a:avLst/>
                    </a:prstGeom>
                  </pic:spPr>
                </pic:pic>
              </a:graphicData>
            </a:graphic>
          </wp:inline>
        </w:drawing>
      </w:r>
    </w:p>
    <w:p w14:paraId="7100675E" w14:textId="5740AF10" w:rsidR="00645349" w:rsidRPr="00DF7403" w:rsidRDefault="00645349" w:rsidP="00645349">
      <w:pPr>
        <w:pStyle w:val="Titre3"/>
        <w:shd w:val="clear" w:color="auto" w:fill="FFFFFF"/>
        <w:spacing w:before="60" w:beforeAutospacing="0" w:after="60" w:afterAutospacing="0"/>
        <w:rPr>
          <w:rFonts w:ascii="Arial" w:hAnsi="Arial" w:cs="Arial"/>
          <w:color w:val="002E4D"/>
          <w:u w:val="single"/>
        </w:rPr>
      </w:pPr>
      <w:r w:rsidRPr="00DF7403">
        <w:rPr>
          <w:u w:val="single"/>
        </w:rPr>
        <w:lastRenderedPageBreak/>
        <w:t>Doc2 :</w:t>
      </w:r>
      <w:r w:rsidRPr="00DF7403">
        <w:rPr>
          <w:rFonts w:ascii="Arial" w:hAnsi="Arial" w:cs="Arial"/>
          <w:b w:val="0"/>
          <w:bCs w:val="0"/>
          <w:color w:val="002E4D"/>
          <w:u w:val="single"/>
        </w:rPr>
        <w:t xml:space="preserve"> </w:t>
      </w:r>
      <w:r w:rsidRPr="00DF7403">
        <w:rPr>
          <w:rStyle w:val="lev"/>
          <w:rFonts w:ascii="Arial" w:hAnsi="Arial" w:cs="Arial"/>
          <w:b/>
          <w:bCs/>
          <w:color w:val="002E4D"/>
          <w:u w:val="single"/>
        </w:rPr>
        <w:t>Aperçu de la biodiversité spécifique mondiale avec quelques groupes</w:t>
      </w:r>
    </w:p>
    <w:p w14:paraId="385E8BEB" w14:textId="77777777" w:rsidR="00645349" w:rsidRPr="00645349" w:rsidRDefault="00645349" w:rsidP="00645349">
      <w:pPr>
        <w:widowControl/>
        <w:shd w:val="clear" w:color="auto" w:fill="FFFFFF"/>
        <w:autoSpaceDE/>
        <w:autoSpaceDN/>
        <w:rPr>
          <w:rFonts w:ascii="Times New Roman" w:eastAsia="Times New Roman" w:hAnsi="Times New Roman" w:cs="Times New Roman"/>
          <w:color w:val="002E4D"/>
          <w:sz w:val="24"/>
          <w:szCs w:val="24"/>
          <w:lang w:eastAsia="fr-FR"/>
        </w:rPr>
      </w:pPr>
      <w:r w:rsidRPr="00645349">
        <w:rPr>
          <w:rFonts w:ascii="Times New Roman" w:eastAsia="Times New Roman" w:hAnsi="Times New Roman" w:cs="Times New Roman"/>
          <w:color w:val="002E4D"/>
          <w:sz w:val="24"/>
          <w:szCs w:val="24"/>
          <w:lang w:eastAsia="fr-FR"/>
        </w:rPr>
        <w:t>Le nombre total d'espèces peut être extrapolé à partir du nombre d'espèces connues dans chaque </w:t>
      </w:r>
      <w:r w:rsidRPr="00645349">
        <w:rPr>
          <w:rFonts w:ascii="Times New Roman" w:eastAsia="Times New Roman" w:hAnsi="Times New Roman" w:cs="Times New Roman"/>
          <w:b/>
          <w:bCs/>
          <w:color w:val="002E4D"/>
          <w:sz w:val="24"/>
          <w:szCs w:val="24"/>
          <w:lang w:eastAsia="fr-FR"/>
        </w:rPr>
        <w:t>taxon</w:t>
      </w:r>
      <w:r w:rsidRPr="00645349">
        <w:rPr>
          <w:rFonts w:ascii="Times New Roman" w:eastAsia="Times New Roman" w:hAnsi="Times New Roman" w:cs="Times New Roman"/>
          <w:color w:val="002E4D"/>
          <w:sz w:val="24"/>
          <w:szCs w:val="24"/>
          <w:lang w:eastAsia="fr-FR"/>
        </w:rPr>
        <w:t>.</w:t>
      </w:r>
      <w:r w:rsidRPr="00645349">
        <w:rPr>
          <w:rFonts w:ascii="Times New Roman" w:eastAsia="Times New Roman" w:hAnsi="Times New Roman" w:cs="Times New Roman"/>
          <w:color w:val="002E4D"/>
          <w:sz w:val="24"/>
          <w:szCs w:val="24"/>
          <w:lang w:eastAsia="fr-FR"/>
        </w:rPr>
        <w:br/>
        <w:t>Les estimations dépendent des méthodes de calcul choisies. Pour des espèces plus difficiles à étudier (petite taille, évolution rapide, etc.) comme les bactéries, l'estimation de ce nombre est moins fiable. Les recherches menées vont dans le sens de plusieurs centaines de milliards d'espèces de bactéries.</w:t>
      </w:r>
    </w:p>
    <w:p w14:paraId="1E2A8A38" w14:textId="77777777" w:rsidR="00645349" w:rsidRPr="00645349" w:rsidRDefault="00645349" w:rsidP="00645349">
      <w:pPr>
        <w:widowControl/>
        <w:shd w:val="clear" w:color="auto" w:fill="FFFFFF"/>
        <w:autoSpaceDE/>
        <w:autoSpaceDN/>
        <w:rPr>
          <w:rFonts w:ascii="Arial" w:eastAsia="Times New Roman" w:hAnsi="Arial" w:cs="Arial"/>
          <w:b/>
          <w:bCs/>
          <w:color w:val="002E4D"/>
          <w:sz w:val="24"/>
          <w:szCs w:val="24"/>
          <w:lang w:eastAsia="fr-FR"/>
        </w:rPr>
      </w:pPr>
      <w:r w:rsidRPr="00645349">
        <w:rPr>
          <w:rFonts w:ascii="Arial" w:eastAsia="Times New Roman" w:hAnsi="Arial" w:cs="Arial"/>
          <w:b/>
          <w:bCs/>
          <w:color w:val="002E4D"/>
          <w:sz w:val="24"/>
          <w:szCs w:val="24"/>
          <w:lang w:eastAsia="fr-FR"/>
        </w:rPr>
        <w:t>Source : Mora C. </w:t>
      </w:r>
      <w:r w:rsidRPr="00645349">
        <w:rPr>
          <w:rFonts w:ascii="Arial" w:eastAsia="Times New Roman" w:hAnsi="Arial" w:cs="Arial"/>
          <w:b/>
          <w:bCs/>
          <w:i/>
          <w:iCs/>
          <w:color w:val="002E4D"/>
          <w:sz w:val="24"/>
          <w:szCs w:val="24"/>
          <w:lang w:eastAsia="fr-FR"/>
        </w:rPr>
        <w:t>et al.</w:t>
      </w:r>
    </w:p>
    <w:p w14:paraId="610543A2" w14:textId="77777777" w:rsidR="00645349" w:rsidRPr="00645349" w:rsidRDefault="00645349" w:rsidP="00645349">
      <w:pPr>
        <w:widowControl/>
        <w:shd w:val="clear" w:color="auto" w:fill="FFFFFF"/>
        <w:autoSpaceDE/>
        <w:autoSpaceDN/>
        <w:rPr>
          <w:rFonts w:ascii="Arial" w:eastAsia="Times New Roman" w:hAnsi="Arial" w:cs="Arial"/>
          <w:color w:val="002E4D"/>
          <w:sz w:val="24"/>
          <w:szCs w:val="24"/>
          <w:lang w:eastAsia="fr-FR"/>
        </w:rPr>
      </w:pPr>
      <w:proofErr w:type="spellStart"/>
      <w:r w:rsidRPr="00645349">
        <w:rPr>
          <w:rFonts w:ascii="Arial" w:eastAsia="Times New Roman" w:hAnsi="Arial" w:cs="Arial"/>
          <w:i/>
          <w:iCs/>
          <w:color w:val="002E4D"/>
          <w:sz w:val="24"/>
          <w:szCs w:val="24"/>
          <w:lang w:eastAsia="fr-FR"/>
        </w:rPr>
        <w:t>Plos</w:t>
      </w:r>
      <w:proofErr w:type="spellEnd"/>
      <w:r w:rsidRPr="00645349">
        <w:rPr>
          <w:rFonts w:ascii="Arial" w:eastAsia="Times New Roman" w:hAnsi="Arial" w:cs="Arial"/>
          <w:i/>
          <w:iCs/>
          <w:color w:val="002E4D"/>
          <w:sz w:val="24"/>
          <w:szCs w:val="24"/>
          <w:lang w:eastAsia="fr-FR"/>
        </w:rPr>
        <w:t xml:space="preserve"> </w:t>
      </w:r>
      <w:proofErr w:type="spellStart"/>
      <w:r w:rsidRPr="00645349">
        <w:rPr>
          <w:rFonts w:ascii="Arial" w:eastAsia="Times New Roman" w:hAnsi="Arial" w:cs="Arial"/>
          <w:i/>
          <w:iCs/>
          <w:color w:val="002E4D"/>
          <w:sz w:val="24"/>
          <w:szCs w:val="24"/>
          <w:lang w:eastAsia="fr-FR"/>
        </w:rPr>
        <w:t>Biology</w:t>
      </w:r>
      <w:proofErr w:type="spellEnd"/>
      <w:r w:rsidRPr="00645349">
        <w:rPr>
          <w:rFonts w:ascii="Arial" w:eastAsia="Times New Roman" w:hAnsi="Arial" w:cs="Arial"/>
          <w:color w:val="002E4D"/>
          <w:sz w:val="24"/>
          <w:szCs w:val="24"/>
          <w:lang w:eastAsia="fr-FR"/>
        </w:rPr>
        <w:t>, 2011.</w:t>
      </w:r>
    </w:p>
    <w:p w14:paraId="09EAA32C" w14:textId="50353BEF" w:rsidR="00645349" w:rsidRDefault="00645349" w:rsidP="00645349">
      <w:pPr>
        <w:jc w:val="both"/>
      </w:pPr>
      <w:r>
        <w:rPr>
          <w:noProof/>
          <w14:ligatures w14:val="standardContextual"/>
        </w:rPr>
        <w:drawing>
          <wp:inline distT="0" distB="0" distL="0" distR="0" wp14:anchorId="25492761" wp14:editId="318FB404">
            <wp:extent cx="5760720" cy="1669415"/>
            <wp:effectExtent l="0" t="0" r="0" b="6985"/>
            <wp:docPr id="491942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42976" name=""/>
                    <pic:cNvPicPr/>
                  </pic:nvPicPr>
                  <pic:blipFill>
                    <a:blip r:embed="rId9"/>
                    <a:stretch>
                      <a:fillRect/>
                    </a:stretch>
                  </pic:blipFill>
                  <pic:spPr>
                    <a:xfrm>
                      <a:off x="0" y="0"/>
                      <a:ext cx="5760720" cy="1669415"/>
                    </a:xfrm>
                    <a:prstGeom prst="rect">
                      <a:avLst/>
                    </a:prstGeom>
                  </pic:spPr>
                </pic:pic>
              </a:graphicData>
            </a:graphic>
          </wp:inline>
        </w:drawing>
      </w:r>
    </w:p>
    <w:p w14:paraId="3C69028C" w14:textId="18D5AD5D" w:rsidR="00645349" w:rsidRDefault="00000000" w:rsidP="00645349">
      <w:pPr>
        <w:jc w:val="both"/>
      </w:pPr>
      <w:hyperlink r:id="rId10" w:history="1">
        <w:r w:rsidR="00645349" w:rsidRPr="00287989">
          <w:rPr>
            <w:rStyle w:val="Lienhypertexte"/>
          </w:rPr>
          <w:t>https://inpn.mnhn.fr/docs/communication/livretInpn/LIVRET_INPN_2019.pdf</w:t>
        </w:r>
      </w:hyperlink>
    </w:p>
    <w:p w14:paraId="3F5F7E9D" w14:textId="6DE4BFC2" w:rsidR="00645349" w:rsidRDefault="00000000" w:rsidP="00645349">
      <w:pPr>
        <w:jc w:val="both"/>
      </w:pPr>
      <w:hyperlink r:id="rId11" w:history="1">
        <w:r w:rsidR="00645349" w:rsidRPr="00287989">
          <w:rPr>
            <w:rStyle w:val="Lienhypertexte"/>
          </w:rPr>
          <w:t>https://www.futura-sciences.com/planete/actualites/ocean-apres-empreinte-carbone-empreinte-foret-voici-empreinte-ocean-14620/</w:t>
        </w:r>
      </w:hyperlink>
    </w:p>
    <w:p w14:paraId="3D57B502" w14:textId="77777777" w:rsidR="00645349" w:rsidRDefault="00645349" w:rsidP="00645349">
      <w:pPr>
        <w:jc w:val="both"/>
      </w:pPr>
    </w:p>
    <w:p w14:paraId="12E4ACDC" w14:textId="3DDE8E43" w:rsidR="00645349" w:rsidRPr="00DF7403" w:rsidRDefault="00645349" w:rsidP="00DF7403">
      <w:pPr>
        <w:pStyle w:val="Titre3"/>
        <w:shd w:val="clear" w:color="auto" w:fill="FFFFFF"/>
        <w:spacing w:before="60" w:beforeAutospacing="0" w:after="60" w:afterAutospacing="0"/>
        <w:jc w:val="both"/>
        <w:rPr>
          <w:rFonts w:ascii="Arial" w:hAnsi="Arial" w:cs="Arial"/>
          <w:color w:val="002E4D"/>
          <w:sz w:val="24"/>
          <w:szCs w:val="24"/>
          <w:u w:val="single"/>
        </w:rPr>
      </w:pPr>
      <w:proofErr w:type="gramStart"/>
      <w:r w:rsidRPr="00DF7403">
        <w:rPr>
          <w:sz w:val="24"/>
          <w:szCs w:val="24"/>
          <w:u w:val="single"/>
        </w:rPr>
        <w:t>doc</w:t>
      </w:r>
      <w:proofErr w:type="gramEnd"/>
      <w:r w:rsidRPr="00DF7403">
        <w:rPr>
          <w:sz w:val="24"/>
          <w:szCs w:val="24"/>
          <w:u w:val="single"/>
        </w:rPr>
        <w:t xml:space="preserve"> 3 :</w:t>
      </w:r>
      <w:r w:rsidRPr="00DF7403">
        <w:rPr>
          <w:rFonts w:ascii="Arial" w:hAnsi="Arial" w:cs="Arial"/>
          <w:b w:val="0"/>
          <w:bCs w:val="0"/>
          <w:color w:val="002E4D"/>
          <w:sz w:val="24"/>
          <w:szCs w:val="24"/>
          <w:u w:val="single"/>
        </w:rPr>
        <w:t xml:space="preserve"> </w:t>
      </w:r>
      <w:r w:rsidRPr="00DF7403">
        <w:rPr>
          <w:rStyle w:val="lev"/>
          <w:rFonts w:ascii="Arial" w:hAnsi="Arial" w:cs="Arial"/>
          <w:b/>
          <w:bCs/>
          <w:color w:val="002E4D"/>
          <w:sz w:val="24"/>
          <w:szCs w:val="24"/>
          <w:u w:val="single"/>
        </w:rPr>
        <w:t>Des méthodes d'étude modernes de la biodiversité : </w:t>
      </w:r>
      <w:proofErr w:type="spellStart"/>
      <w:r w:rsidRPr="00DF7403">
        <w:rPr>
          <w:rStyle w:val="lev"/>
          <w:rFonts w:ascii="Arial" w:hAnsi="Arial" w:cs="Arial"/>
          <w:b/>
          <w:bCs/>
          <w:i/>
          <w:iCs/>
          <w:color w:val="002E4D"/>
          <w:sz w:val="24"/>
          <w:szCs w:val="24"/>
          <w:u w:val="single"/>
        </w:rPr>
        <w:t>barcoding</w:t>
      </w:r>
      <w:proofErr w:type="spellEnd"/>
      <w:r w:rsidRPr="00DF7403">
        <w:rPr>
          <w:rStyle w:val="lev"/>
          <w:rFonts w:ascii="Arial" w:hAnsi="Arial" w:cs="Arial"/>
          <w:b/>
          <w:bCs/>
          <w:color w:val="002E4D"/>
          <w:sz w:val="24"/>
          <w:szCs w:val="24"/>
          <w:u w:val="single"/>
        </w:rPr>
        <w:t> moléculaire et </w:t>
      </w:r>
      <w:proofErr w:type="spellStart"/>
      <w:r w:rsidRPr="00DF7403">
        <w:rPr>
          <w:rStyle w:val="lev"/>
          <w:rFonts w:ascii="Arial" w:hAnsi="Arial" w:cs="Arial"/>
          <w:b/>
          <w:bCs/>
          <w:i/>
          <w:iCs/>
          <w:color w:val="002E4D"/>
          <w:sz w:val="24"/>
          <w:szCs w:val="24"/>
          <w:u w:val="single"/>
        </w:rPr>
        <w:t>metabarcoding</w:t>
      </w:r>
      <w:proofErr w:type="spellEnd"/>
    </w:p>
    <w:p w14:paraId="1CD76625" w14:textId="70773323" w:rsidR="00645349" w:rsidRDefault="00645349" w:rsidP="00645349">
      <w:pPr>
        <w:jc w:val="both"/>
      </w:pPr>
      <w:r>
        <w:rPr>
          <w:noProof/>
          <w14:ligatures w14:val="standardContextual"/>
        </w:rPr>
        <w:drawing>
          <wp:inline distT="0" distB="0" distL="0" distR="0" wp14:anchorId="27F1AA0C" wp14:editId="113DF317">
            <wp:extent cx="6410591" cy="1847850"/>
            <wp:effectExtent l="0" t="0" r="9525" b="0"/>
            <wp:docPr id="1002211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1102" name=""/>
                    <pic:cNvPicPr/>
                  </pic:nvPicPr>
                  <pic:blipFill>
                    <a:blip r:embed="rId12"/>
                    <a:stretch>
                      <a:fillRect/>
                    </a:stretch>
                  </pic:blipFill>
                  <pic:spPr>
                    <a:xfrm>
                      <a:off x="0" y="0"/>
                      <a:ext cx="6414681" cy="1849029"/>
                    </a:xfrm>
                    <a:prstGeom prst="rect">
                      <a:avLst/>
                    </a:prstGeom>
                  </pic:spPr>
                </pic:pic>
              </a:graphicData>
            </a:graphic>
          </wp:inline>
        </w:drawing>
      </w:r>
    </w:p>
    <w:p w14:paraId="6753E767" w14:textId="59710AA3" w:rsidR="00645349" w:rsidRDefault="00645349" w:rsidP="00645349">
      <w:pPr>
        <w:jc w:val="both"/>
        <w:rPr>
          <w:rFonts w:ascii="Arial" w:hAnsi="Arial" w:cs="Arial"/>
          <w:color w:val="002E4D"/>
          <w:shd w:val="clear" w:color="auto" w:fill="FFFFFF"/>
        </w:rPr>
      </w:pPr>
      <w:r>
        <w:rPr>
          <w:rFonts w:ascii="Arial" w:hAnsi="Arial" w:cs="Arial"/>
          <w:color w:val="002E4D"/>
          <w:shd w:val="clear" w:color="auto" w:fill="FFFFFF"/>
        </w:rPr>
        <w:t>Le </w:t>
      </w:r>
      <w:proofErr w:type="spellStart"/>
      <w:r>
        <w:rPr>
          <w:rStyle w:val="lev"/>
          <w:rFonts w:ascii="Arial" w:hAnsi="Arial" w:cs="Arial"/>
          <w:i/>
          <w:iCs/>
          <w:color w:val="002E4D"/>
          <w:shd w:val="clear" w:color="auto" w:fill="FFFFFF"/>
        </w:rPr>
        <w:t>barcoding</w:t>
      </w:r>
      <w:proofErr w:type="spellEnd"/>
      <w:r>
        <w:rPr>
          <w:rFonts w:ascii="Arial" w:hAnsi="Arial" w:cs="Arial"/>
          <w:color w:val="002E4D"/>
          <w:shd w:val="clear" w:color="auto" w:fill="FFFFFF"/>
        </w:rPr>
        <w:t xml:space="preserve"> moléculaire consiste à identifier une espèce en comparant une courte séquence de son ADN à toutes les séquences connues d'ADN rassemblées dans une banque de données, comme si l'on « scannait » son code-barres génétique. En comparant toutes les </w:t>
      </w:r>
      <w:proofErr w:type="gramStart"/>
      <w:r>
        <w:rPr>
          <w:rFonts w:ascii="Arial" w:hAnsi="Arial" w:cs="Arial"/>
          <w:color w:val="002E4D"/>
          <w:shd w:val="clear" w:color="auto" w:fill="FFFFFF"/>
        </w:rPr>
        <w:t>séquences</w:t>
      </w:r>
      <w:proofErr w:type="gramEnd"/>
      <w:r>
        <w:rPr>
          <w:rFonts w:ascii="Arial" w:hAnsi="Arial" w:cs="Arial"/>
          <w:color w:val="002E4D"/>
          <w:shd w:val="clear" w:color="auto" w:fill="FFFFFF"/>
        </w:rPr>
        <w:t xml:space="preserve"> d'ADN retrouvées dans un échantillon d'eau ou de sol à cette banque de données, les chercheurs peuvent identifier les espèces qui se trouvent dans cet échantillon : c'est le </w:t>
      </w:r>
      <w:proofErr w:type="spellStart"/>
      <w:r>
        <w:rPr>
          <w:rStyle w:val="lev"/>
          <w:rFonts w:ascii="Arial" w:hAnsi="Arial" w:cs="Arial"/>
          <w:i/>
          <w:iCs/>
          <w:color w:val="002E4D"/>
          <w:shd w:val="clear" w:color="auto" w:fill="FFFFFF"/>
        </w:rPr>
        <w:t>metabarcoding</w:t>
      </w:r>
      <w:proofErr w:type="spellEnd"/>
      <w:r>
        <w:rPr>
          <w:rFonts w:ascii="Arial" w:hAnsi="Arial" w:cs="Arial"/>
          <w:color w:val="002E4D"/>
          <w:shd w:val="clear" w:color="auto" w:fill="FFFFFF"/>
        </w:rPr>
        <w:t>. Ces méthodes sont cependant coûteuses et ne peuvent pas remplacer complètement les reconnaissances sur le terrain.</w:t>
      </w:r>
      <w:r>
        <w:rPr>
          <w:rFonts w:ascii="Arial" w:hAnsi="Arial" w:cs="Arial"/>
          <w:color w:val="002E4D"/>
        </w:rPr>
        <w:br/>
      </w:r>
      <w:r>
        <w:rPr>
          <w:rFonts w:ascii="Arial" w:hAnsi="Arial" w:cs="Arial"/>
          <w:color w:val="002E4D"/>
          <w:shd w:val="clear" w:color="auto" w:fill="FFFFFF"/>
        </w:rPr>
        <w:t>De 2009 à 2013, les équipes de recherche à bord du </w:t>
      </w:r>
      <w:r>
        <w:rPr>
          <w:rFonts w:ascii="Arial" w:hAnsi="Arial" w:cs="Arial"/>
          <w:i/>
          <w:iCs/>
          <w:color w:val="002E4D"/>
          <w:shd w:val="clear" w:color="auto" w:fill="FFFFFF"/>
        </w:rPr>
        <w:t>Tara</w:t>
      </w:r>
      <w:r>
        <w:rPr>
          <w:rFonts w:ascii="Arial" w:hAnsi="Arial" w:cs="Arial"/>
          <w:color w:val="002E4D"/>
          <w:shd w:val="clear" w:color="auto" w:fill="FFFFFF"/>
        </w:rPr>
        <w:t> ont réalisé une étude approfondie par </w:t>
      </w:r>
      <w:proofErr w:type="spellStart"/>
      <w:r>
        <w:rPr>
          <w:rFonts w:ascii="Arial" w:hAnsi="Arial" w:cs="Arial"/>
          <w:i/>
          <w:iCs/>
          <w:color w:val="002E4D"/>
          <w:shd w:val="clear" w:color="auto" w:fill="FFFFFF"/>
        </w:rPr>
        <w:t>metabarcoding</w:t>
      </w:r>
      <w:proofErr w:type="spellEnd"/>
      <w:r>
        <w:rPr>
          <w:rFonts w:ascii="Arial" w:hAnsi="Arial" w:cs="Arial"/>
          <w:color w:val="002E4D"/>
          <w:shd w:val="clear" w:color="auto" w:fill="FFFFFF"/>
        </w:rPr>
        <w:t> de la diversité des microorganismes marins. La carte ci-dessous présente l'abondance relative des différents taxons dans trois des lieux étudiés.</w:t>
      </w:r>
    </w:p>
    <w:p w14:paraId="24E51AF5" w14:textId="0733F484" w:rsidR="00645349" w:rsidRDefault="00645349" w:rsidP="00645349">
      <w:pPr>
        <w:jc w:val="both"/>
      </w:pPr>
      <w:r>
        <w:rPr>
          <w:noProof/>
          <w14:ligatures w14:val="standardContextual"/>
        </w:rPr>
        <w:lastRenderedPageBreak/>
        <w:drawing>
          <wp:inline distT="0" distB="0" distL="0" distR="0" wp14:anchorId="6F383229" wp14:editId="05C69D04">
            <wp:extent cx="6079046" cy="2752725"/>
            <wp:effectExtent l="0" t="0" r="0" b="0"/>
            <wp:docPr id="9476760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76026" name=""/>
                    <pic:cNvPicPr/>
                  </pic:nvPicPr>
                  <pic:blipFill>
                    <a:blip r:embed="rId13"/>
                    <a:stretch>
                      <a:fillRect/>
                    </a:stretch>
                  </pic:blipFill>
                  <pic:spPr>
                    <a:xfrm>
                      <a:off x="0" y="0"/>
                      <a:ext cx="6083883" cy="2754915"/>
                    </a:xfrm>
                    <a:prstGeom prst="rect">
                      <a:avLst/>
                    </a:prstGeom>
                  </pic:spPr>
                </pic:pic>
              </a:graphicData>
            </a:graphic>
          </wp:inline>
        </w:drawing>
      </w:r>
    </w:p>
    <w:p w14:paraId="35DF805E" w14:textId="77777777" w:rsidR="00DF7403" w:rsidRDefault="00DF7403" w:rsidP="00645349">
      <w:pPr>
        <w:jc w:val="both"/>
      </w:pPr>
    </w:p>
    <w:p w14:paraId="5041209A" w14:textId="7C728FA3" w:rsidR="00645349" w:rsidRDefault="000326D9" w:rsidP="00645349">
      <w:pPr>
        <w:jc w:val="both"/>
      </w:pPr>
      <w:hyperlink r:id="rId14" w:history="1">
        <w:r w:rsidRPr="00574024">
          <w:rPr>
            <w:rStyle w:val="Lienhypertexte"/>
          </w:rPr>
          <w:t>https://www.youtube.com/watch?v=1F6JGk51_l0</w:t>
        </w:r>
      </w:hyperlink>
    </w:p>
    <w:p w14:paraId="0817FB76" w14:textId="77777777" w:rsidR="00645349" w:rsidRDefault="00645349" w:rsidP="00645349">
      <w:pPr>
        <w:jc w:val="both"/>
      </w:pPr>
    </w:p>
    <w:p w14:paraId="7D49A6F3" w14:textId="4DB80526" w:rsidR="00645349" w:rsidRDefault="00645349" w:rsidP="00645349">
      <w:pPr>
        <w:jc w:val="both"/>
      </w:pPr>
      <w:r>
        <w:rPr>
          <w:noProof/>
          <w14:ligatures w14:val="standardContextual"/>
        </w:rPr>
        <w:drawing>
          <wp:inline distT="0" distB="0" distL="0" distR="0" wp14:anchorId="27AA6530" wp14:editId="60703C78">
            <wp:extent cx="5760720" cy="1179830"/>
            <wp:effectExtent l="0" t="0" r="0" b="1270"/>
            <wp:docPr id="10707175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17557" name=""/>
                    <pic:cNvPicPr/>
                  </pic:nvPicPr>
                  <pic:blipFill>
                    <a:blip r:embed="rId15"/>
                    <a:stretch>
                      <a:fillRect/>
                    </a:stretch>
                  </pic:blipFill>
                  <pic:spPr>
                    <a:xfrm>
                      <a:off x="0" y="0"/>
                      <a:ext cx="5760720" cy="1179830"/>
                    </a:xfrm>
                    <a:prstGeom prst="rect">
                      <a:avLst/>
                    </a:prstGeom>
                  </pic:spPr>
                </pic:pic>
              </a:graphicData>
            </a:graphic>
          </wp:inline>
        </w:drawing>
      </w:r>
    </w:p>
    <w:p w14:paraId="63B2B5F7" w14:textId="233B8EB4" w:rsidR="00645349" w:rsidRPr="00DF7403" w:rsidRDefault="00645349" w:rsidP="00645349">
      <w:pPr>
        <w:pStyle w:val="Paragraphedeliste"/>
        <w:numPr>
          <w:ilvl w:val="0"/>
          <w:numId w:val="1"/>
        </w:numPr>
        <w:jc w:val="both"/>
        <w:rPr>
          <w:rFonts w:ascii="Arial" w:hAnsi="Arial" w:cs="Arial"/>
          <w:color w:val="002E4D"/>
          <w:sz w:val="24"/>
          <w:szCs w:val="24"/>
          <w:shd w:val="clear" w:color="auto" w:fill="FFFFFF"/>
        </w:rPr>
      </w:pPr>
      <w:r w:rsidRPr="00DF7403">
        <w:rPr>
          <w:rStyle w:val="lls-new-viewer-tooltip"/>
          <w:rFonts w:ascii="Arial" w:hAnsi="Arial" w:cs="Arial"/>
          <w:b/>
          <w:bCs/>
          <w:sz w:val="24"/>
          <w:szCs w:val="24"/>
          <w:shd w:val="clear" w:color="auto" w:fill="FFFFFF"/>
        </w:rPr>
        <w:t>Doc. 1</w:t>
      </w:r>
      <w:r w:rsidRPr="00DF7403">
        <w:rPr>
          <w:rStyle w:val="lev"/>
          <w:rFonts w:ascii="Arial" w:hAnsi="Arial" w:cs="Arial"/>
          <w:sz w:val="24"/>
          <w:szCs w:val="24"/>
          <w:shd w:val="clear" w:color="auto" w:fill="FFFFFF"/>
        </w:rPr>
        <w:t> </w:t>
      </w:r>
      <w:r w:rsidRPr="00DF7403">
        <w:rPr>
          <w:rFonts w:ascii="Arial" w:hAnsi="Arial" w:cs="Arial"/>
          <w:color w:val="002E4D"/>
          <w:sz w:val="24"/>
          <w:szCs w:val="24"/>
          <w:shd w:val="clear" w:color="auto" w:fill="FFFFFF"/>
        </w:rPr>
        <w:t>Comparer la diversité spécifique des deux quadrats du Galibier et proposer une explication aux différences observées.</w:t>
      </w:r>
    </w:p>
    <w:p w14:paraId="3D348769" w14:textId="2C153128" w:rsidR="00645349" w:rsidRPr="00DF7403" w:rsidRDefault="00645349" w:rsidP="00645349">
      <w:pPr>
        <w:pStyle w:val="Paragraphedeliste"/>
        <w:numPr>
          <w:ilvl w:val="0"/>
          <w:numId w:val="1"/>
        </w:numPr>
        <w:jc w:val="both"/>
        <w:rPr>
          <w:sz w:val="24"/>
          <w:szCs w:val="24"/>
        </w:rPr>
      </w:pPr>
      <w:r w:rsidRPr="00DF7403">
        <w:rPr>
          <w:rStyle w:val="lls-new-viewer-tooltip"/>
          <w:rFonts w:ascii="Arial" w:hAnsi="Arial" w:cs="Arial"/>
          <w:b/>
          <w:bCs/>
          <w:sz w:val="24"/>
          <w:szCs w:val="24"/>
          <w:shd w:val="clear" w:color="auto" w:fill="FFFFFF"/>
        </w:rPr>
        <w:t>Doc. 2</w:t>
      </w:r>
      <w:r w:rsidRPr="00DF7403">
        <w:rPr>
          <w:rStyle w:val="lev"/>
          <w:rFonts w:ascii="Arial" w:hAnsi="Arial" w:cs="Arial"/>
          <w:sz w:val="24"/>
          <w:szCs w:val="24"/>
          <w:shd w:val="clear" w:color="auto" w:fill="FFFFFF"/>
        </w:rPr>
        <w:t> </w:t>
      </w:r>
      <w:r w:rsidRPr="00DF7403">
        <w:rPr>
          <w:rFonts w:ascii="Arial" w:hAnsi="Arial" w:cs="Arial"/>
          <w:color w:val="002E4D"/>
          <w:sz w:val="24"/>
          <w:szCs w:val="24"/>
          <w:shd w:val="clear" w:color="auto" w:fill="FFFFFF"/>
        </w:rPr>
        <w:t>Tracer un diagramme circulaire donnant l'abondance relative de chaque taxon du tableau. Y représenter la partie connue de chaque taxon. Commenter le résultat.</w:t>
      </w:r>
    </w:p>
    <w:p w14:paraId="14B9E3E7" w14:textId="3F5677D5" w:rsidR="00645349" w:rsidRPr="00DF7403" w:rsidRDefault="00645349" w:rsidP="00645349">
      <w:pPr>
        <w:pStyle w:val="Paragraphedeliste"/>
        <w:numPr>
          <w:ilvl w:val="0"/>
          <w:numId w:val="1"/>
        </w:numPr>
        <w:jc w:val="both"/>
        <w:rPr>
          <w:sz w:val="24"/>
          <w:szCs w:val="24"/>
        </w:rPr>
      </w:pPr>
      <w:r w:rsidRPr="00DF7403">
        <w:rPr>
          <w:rStyle w:val="lls-new-viewer-tooltip"/>
          <w:rFonts w:ascii="Arial" w:hAnsi="Arial" w:cs="Arial"/>
          <w:b/>
          <w:bCs/>
          <w:sz w:val="24"/>
          <w:szCs w:val="24"/>
          <w:shd w:val="clear" w:color="auto" w:fill="FFFFFF"/>
        </w:rPr>
        <w:t>Doc. 3</w:t>
      </w:r>
      <w:r w:rsidRPr="00DF7403">
        <w:rPr>
          <w:rStyle w:val="lev"/>
          <w:rFonts w:ascii="Arial" w:hAnsi="Arial" w:cs="Arial"/>
          <w:sz w:val="24"/>
          <w:szCs w:val="24"/>
          <w:shd w:val="clear" w:color="auto" w:fill="FFFFFF"/>
        </w:rPr>
        <w:t> </w:t>
      </w:r>
      <w:r w:rsidRPr="00DF7403">
        <w:rPr>
          <w:rFonts w:ascii="Arial" w:hAnsi="Arial" w:cs="Arial"/>
          <w:color w:val="002E4D"/>
          <w:sz w:val="24"/>
          <w:szCs w:val="24"/>
          <w:shd w:val="clear" w:color="auto" w:fill="FFFFFF"/>
        </w:rPr>
        <w:t>Comparer et commenter la richesse taxonomique des différents lieux échantillonnés lors de l'expédition </w:t>
      </w:r>
      <w:r w:rsidRPr="00DF7403">
        <w:rPr>
          <w:rFonts w:ascii="Arial" w:hAnsi="Arial" w:cs="Arial"/>
          <w:i/>
          <w:iCs/>
          <w:color w:val="002E4D"/>
          <w:sz w:val="24"/>
          <w:szCs w:val="24"/>
          <w:shd w:val="clear" w:color="auto" w:fill="FFFFFF"/>
        </w:rPr>
        <w:t xml:space="preserve">Tara </w:t>
      </w:r>
      <w:proofErr w:type="spellStart"/>
      <w:r w:rsidRPr="00DF7403">
        <w:rPr>
          <w:rFonts w:ascii="Arial" w:hAnsi="Arial" w:cs="Arial"/>
          <w:i/>
          <w:iCs/>
          <w:color w:val="002E4D"/>
          <w:sz w:val="24"/>
          <w:szCs w:val="24"/>
          <w:shd w:val="clear" w:color="auto" w:fill="FFFFFF"/>
        </w:rPr>
        <w:t>Oceans</w:t>
      </w:r>
      <w:proofErr w:type="spellEnd"/>
      <w:r w:rsidRPr="00DF7403">
        <w:rPr>
          <w:rFonts w:ascii="Arial" w:hAnsi="Arial" w:cs="Arial"/>
          <w:color w:val="002E4D"/>
          <w:sz w:val="24"/>
          <w:szCs w:val="24"/>
          <w:shd w:val="clear" w:color="auto" w:fill="FFFFFF"/>
        </w:rPr>
        <w:t>.</w:t>
      </w:r>
    </w:p>
    <w:p w14:paraId="28ACB0EC" w14:textId="359EE71E" w:rsidR="00645349" w:rsidRPr="00DF7403" w:rsidRDefault="00645349" w:rsidP="00645349">
      <w:pPr>
        <w:pStyle w:val="Paragraphedeliste"/>
        <w:numPr>
          <w:ilvl w:val="0"/>
          <w:numId w:val="1"/>
        </w:numPr>
        <w:jc w:val="both"/>
        <w:rPr>
          <w:sz w:val="24"/>
          <w:szCs w:val="24"/>
        </w:rPr>
      </w:pPr>
      <w:r w:rsidRPr="00DF7403">
        <w:rPr>
          <w:rStyle w:val="lls-new-viewer-tooltip"/>
          <w:rFonts w:ascii="Arial" w:hAnsi="Arial" w:cs="Arial"/>
          <w:b/>
          <w:bCs/>
          <w:sz w:val="24"/>
          <w:szCs w:val="24"/>
          <w:shd w:val="clear" w:color="auto" w:fill="FFFFFF"/>
        </w:rPr>
        <w:t>Doc. 1</w:t>
      </w:r>
      <w:r w:rsidRPr="00DF7403">
        <w:rPr>
          <w:rStyle w:val="lev"/>
          <w:rFonts w:ascii="Arial" w:hAnsi="Arial" w:cs="Arial"/>
          <w:sz w:val="24"/>
          <w:szCs w:val="24"/>
          <w:shd w:val="clear" w:color="auto" w:fill="FFFFFF"/>
        </w:rPr>
        <w:t>, </w:t>
      </w:r>
      <w:r w:rsidRPr="00DF7403">
        <w:rPr>
          <w:rStyle w:val="lls-new-viewer-tooltip"/>
          <w:rFonts w:ascii="Arial" w:hAnsi="Arial" w:cs="Arial"/>
          <w:b/>
          <w:bCs/>
          <w:sz w:val="24"/>
          <w:szCs w:val="24"/>
          <w:shd w:val="clear" w:color="auto" w:fill="FFFFFF"/>
        </w:rPr>
        <w:t>Doc. 2</w:t>
      </w:r>
      <w:r w:rsidRPr="00DF7403">
        <w:rPr>
          <w:rStyle w:val="lev"/>
          <w:rFonts w:ascii="Arial" w:hAnsi="Arial" w:cs="Arial"/>
          <w:sz w:val="24"/>
          <w:szCs w:val="24"/>
          <w:shd w:val="clear" w:color="auto" w:fill="FFFFFF"/>
        </w:rPr>
        <w:t> et </w:t>
      </w:r>
      <w:r w:rsidRPr="00DF7403">
        <w:rPr>
          <w:rStyle w:val="lls-new-viewer-tooltip"/>
          <w:rFonts w:ascii="Arial" w:hAnsi="Arial" w:cs="Arial"/>
          <w:b/>
          <w:bCs/>
          <w:sz w:val="24"/>
          <w:szCs w:val="24"/>
          <w:shd w:val="clear" w:color="auto" w:fill="FFFFFF"/>
        </w:rPr>
        <w:t>Doc. 3</w:t>
      </w:r>
      <w:r w:rsidRPr="00DF7403">
        <w:rPr>
          <w:rStyle w:val="lev"/>
          <w:rFonts w:ascii="Arial" w:hAnsi="Arial" w:cs="Arial"/>
          <w:sz w:val="24"/>
          <w:szCs w:val="24"/>
          <w:shd w:val="clear" w:color="auto" w:fill="FFFFFF"/>
        </w:rPr>
        <w:t> </w:t>
      </w:r>
      <w:r w:rsidRPr="00DF7403">
        <w:rPr>
          <w:rFonts w:ascii="Arial" w:hAnsi="Arial" w:cs="Arial"/>
          <w:color w:val="002E4D"/>
          <w:sz w:val="24"/>
          <w:szCs w:val="24"/>
          <w:shd w:val="clear" w:color="auto" w:fill="FFFFFF"/>
        </w:rPr>
        <w:t>Discuter de la complémentarité des différentes méthodes d'étude de la biodiversité.</w:t>
      </w:r>
    </w:p>
    <w:sectPr w:rsidR="00645349" w:rsidRPr="00DF74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D7266"/>
    <w:multiLevelType w:val="hybridMultilevel"/>
    <w:tmpl w:val="CD8C1DF8"/>
    <w:lvl w:ilvl="0" w:tplc="C3AC5978">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31394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349"/>
    <w:rsid w:val="000326D9"/>
    <w:rsid w:val="00645349"/>
    <w:rsid w:val="00646C73"/>
    <w:rsid w:val="00DF74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0AF37"/>
  <w15:chartTrackingRefBased/>
  <w15:docId w15:val="{BE1FAFBA-A750-4F8B-84E8-D7EC2A305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349"/>
    <w:pPr>
      <w:widowControl w:val="0"/>
      <w:autoSpaceDE w:val="0"/>
      <w:autoSpaceDN w:val="0"/>
      <w:spacing w:after="0" w:line="240" w:lineRule="auto"/>
    </w:pPr>
    <w:rPr>
      <w:rFonts w:ascii="Arial MT" w:eastAsia="Arial MT" w:hAnsi="Arial MT" w:cs="Arial MT"/>
      <w:kern w:val="0"/>
      <w14:ligatures w14:val="none"/>
    </w:rPr>
  </w:style>
  <w:style w:type="paragraph" w:styleId="Titre3">
    <w:name w:val="heading 3"/>
    <w:basedOn w:val="Normal"/>
    <w:link w:val="Titre3Car"/>
    <w:uiPriority w:val="9"/>
    <w:qFormat/>
    <w:rsid w:val="00645349"/>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64534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45349"/>
    <w:pPr>
      <w:spacing w:line="323" w:lineRule="exact"/>
      <w:ind w:left="110"/>
    </w:pPr>
    <w:rPr>
      <w:rFonts w:ascii="Calibri" w:eastAsia="Calibri" w:hAnsi="Calibri" w:cs="Calibri"/>
    </w:rPr>
  </w:style>
  <w:style w:type="character" w:customStyle="1" w:styleId="Titre3Car">
    <w:name w:val="Titre 3 Car"/>
    <w:basedOn w:val="Policepardfaut"/>
    <w:link w:val="Titre3"/>
    <w:uiPriority w:val="9"/>
    <w:rsid w:val="00645349"/>
    <w:rPr>
      <w:rFonts w:ascii="Times New Roman" w:eastAsia="Times New Roman" w:hAnsi="Times New Roman" w:cs="Times New Roman"/>
      <w:b/>
      <w:bCs/>
      <w:kern w:val="0"/>
      <w:sz w:val="27"/>
      <w:szCs w:val="27"/>
      <w:lang w:eastAsia="fr-FR"/>
      <w14:ligatures w14:val="none"/>
    </w:rPr>
  </w:style>
  <w:style w:type="character" w:styleId="lev">
    <w:name w:val="Strong"/>
    <w:basedOn w:val="Policepardfaut"/>
    <w:uiPriority w:val="22"/>
    <w:qFormat/>
    <w:rsid w:val="00645349"/>
    <w:rPr>
      <w:b/>
      <w:bCs/>
    </w:rPr>
  </w:style>
  <w:style w:type="character" w:styleId="Lienhypertexte">
    <w:name w:val="Hyperlink"/>
    <w:basedOn w:val="Policepardfaut"/>
    <w:uiPriority w:val="99"/>
    <w:unhideWhenUsed/>
    <w:rsid w:val="00645349"/>
    <w:rPr>
      <w:color w:val="0563C1" w:themeColor="hyperlink"/>
      <w:u w:val="single"/>
    </w:rPr>
  </w:style>
  <w:style w:type="character" w:styleId="Mentionnonrsolue">
    <w:name w:val="Unresolved Mention"/>
    <w:basedOn w:val="Policepardfaut"/>
    <w:uiPriority w:val="99"/>
    <w:semiHidden/>
    <w:unhideWhenUsed/>
    <w:rsid w:val="00645349"/>
    <w:rPr>
      <w:color w:val="605E5C"/>
      <w:shd w:val="clear" w:color="auto" w:fill="E1DFDD"/>
    </w:rPr>
  </w:style>
  <w:style w:type="character" w:customStyle="1" w:styleId="lls-new-viewer-tooltip">
    <w:name w:val="lls-new-viewer-tooltip"/>
    <w:basedOn w:val="Policepardfaut"/>
    <w:rsid w:val="00645349"/>
  </w:style>
  <w:style w:type="paragraph" w:styleId="Paragraphedeliste">
    <w:name w:val="List Paragraph"/>
    <w:basedOn w:val="Normal"/>
    <w:uiPriority w:val="34"/>
    <w:qFormat/>
    <w:rsid w:val="006453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32641">
      <w:bodyDiv w:val="1"/>
      <w:marLeft w:val="0"/>
      <w:marRight w:val="0"/>
      <w:marTop w:val="0"/>
      <w:marBottom w:val="0"/>
      <w:divBdr>
        <w:top w:val="none" w:sz="0" w:space="0" w:color="auto"/>
        <w:left w:val="none" w:sz="0" w:space="0" w:color="auto"/>
        <w:bottom w:val="none" w:sz="0" w:space="0" w:color="auto"/>
        <w:right w:val="none" w:sz="0" w:space="0" w:color="auto"/>
      </w:divBdr>
      <w:divsChild>
        <w:div w:id="1647318569">
          <w:marLeft w:val="0"/>
          <w:marRight w:val="0"/>
          <w:marTop w:val="0"/>
          <w:marBottom w:val="0"/>
          <w:divBdr>
            <w:top w:val="none" w:sz="0" w:space="0" w:color="auto"/>
            <w:left w:val="none" w:sz="0" w:space="0" w:color="auto"/>
            <w:bottom w:val="none" w:sz="0" w:space="0" w:color="auto"/>
            <w:right w:val="none" w:sz="0" w:space="0" w:color="auto"/>
          </w:divBdr>
          <w:divsChild>
            <w:div w:id="249975533">
              <w:marLeft w:val="0"/>
              <w:marRight w:val="0"/>
              <w:marTop w:val="0"/>
              <w:marBottom w:val="0"/>
              <w:divBdr>
                <w:top w:val="none" w:sz="0" w:space="0" w:color="auto"/>
                <w:left w:val="none" w:sz="0" w:space="0" w:color="auto"/>
                <w:bottom w:val="none" w:sz="0" w:space="0" w:color="auto"/>
                <w:right w:val="none" w:sz="0" w:space="0" w:color="auto"/>
              </w:divBdr>
            </w:div>
          </w:divsChild>
        </w:div>
        <w:div w:id="1538422335">
          <w:marLeft w:val="0"/>
          <w:marRight w:val="0"/>
          <w:marTop w:val="0"/>
          <w:marBottom w:val="0"/>
          <w:divBdr>
            <w:top w:val="none" w:sz="0" w:space="0" w:color="auto"/>
            <w:left w:val="none" w:sz="0" w:space="0" w:color="auto"/>
            <w:bottom w:val="none" w:sz="0" w:space="0" w:color="auto"/>
            <w:right w:val="none" w:sz="0" w:space="0" w:color="auto"/>
          </w:divBdr>
          <w:divsChild>
            <w:div w:id="672535666">
              <w:marLeft w:val="0"/>
              <w:marRight w:val="0"/>
              <w:marTop w:val="0"/>
              <w:marBottom w:val="0"/>
              <w:divBdr>
                <w:top w:val="none" w:sz="0" w:space="0" w:color="auto"/>
                <w:left w:val="none" w:sz="0" w:space="0" w:color="auto"/>
                <w:bottom w:val="none" w:sz="0" w:space="0" w:color="auto"/>
                <w:right w:val="none" w:sz="0" w:space="0" w:color="auto"/>
              </w:divBdr>
              <w:divsChild>
                <w:div w:id="1214465794">
                  <w:marLeft w:val="0"/>
                  <w:marRight w:val="0"/>
                  <w:marTop w:val="120"/>
                  <w:marBottom w:val="120"/>
                  <w:divBdr>
                    <w:top w:val="none" w:sz="0" w:space="0" w:color="auto"/>
                    <w:left w:val="none" w:sz="0" w:space="0" w:color="auto"/>
                    <w:bottom w:val="none" w:sz="0" w:space="0" w:color="auto"/>
                    <w:right w:val="none" w:sz="0" w:space="0" w:color="auto"/>
                  </w:divBdr>
                  <w:divsChild>
                    <w:div w:id="1273971849">
                      <w:marLeft w:val="0"/>
                      <w:marRight w:val="0"/>
                      <w:marTop w:val="0"/>
                      <w:marBottom w:val="0"/>
                      <w:divBdr>
                        <w:top w:val="none" w:sz="0" w:space="0" w:color="auto"/>
                        <w:left w:val="none" w:sz="0" w:space="0" w:color="auto"/>
                        <w:bottom w:val="none" w:sz="0" w:space="0" w:color="auto"/>
                        <w:right w:val="none" w:sz="0" w:space="0" w:color="auto"/>
                      </w:divBdr>
                      <w:divsChild>
                        <w:div w:id="7604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435155">
      <w:bodyDiv w:val="1"/>
      <w:marLeft w:val="0"/>
      <w:marRight w:val="0"/>
      <w:marTop w:val="0"/>
      <w:marBottom w:val="0"/>
      <w:divBdr>
        <w:top w:val="none" w:sz="0" w:space="0" w:color="auto"/>
        <w:left w:val="none" w:sz="0" w:space="0" w:color="auto"/>
        <w:bottom w:val="none" w:sz="0" w:space="0" w:color="auto"/>
        <w:right w:val="none" w:sz="0" w:space="0" w:color="auto"/>
      </w:divBdr>
    </w:div>
    <w:div w:id="1302344344">
      <w:bodyDiv w:val="1"/>
      <w:marLeft w:val="0"/>
      <w:marRight w:val="0"/>
      <w:marTop w:val="0"/>
      <w:marBottom w:val="0"/>
      <w:divBdr>
        <w:top w:val="none" w:sz="0" w:space="0" w:color="auto"/>
        <w:left w:val="none" w:sz="0" w:space="0" w:color="auto"/>
        <w:bottom w:val="none" w:sz="0" w:space="0" w:color="auto"/>
        <w:right w:val="none" w:sz="0" w:space="0" w:color="auto"/>
      </w:divBdr>
    </w:div>
    <w:div w:id="1704019574">
      <w:bodyDiv w:val="1"/>
      <w:marLeft w:val="0"/>
      <w:marRight w:val="0"/>
      <w:marTop w:val="0"/>
      <w:marBottom w:val="0"/>
      <w:divBdr>
        <w:top w:val="none" w:sz="0" w:space="0" w:color="auto"/>
        <w:left w:val="none" w:sz="0" w:space="0" w:color="auto"/>
        <w:bottom w:val="none" w:sz="0" w:space="0" w:color="auto"/>
        <w:right w:val="none" w:sz="0" w:space="0" w:color="auto"/>
      </w:divBdr>
    </w:div>
    <w:div w:id="2079279026">
      <w:bodyDiv w:val="1"/>
      <w:marLeft w:val="0"/>
      <w:marRight w:val="0"/>
      <w:marTop w:val="0"/>
      <w:marBottom w:val="0"/>
      <w:divBdr>
        <w:top w:val="none" w:sz="0" w:space="0" w:color="auto"/>
        <w:left w:val="none" w:sz="0" w:space="0" w:color="auto"/>
        <w:bottom w:val="none" w:sz="0" w:space="0" w:color="auto"/>
        <w:right w:val="none" w:sz="0" w:space="0" w:color="auto"/>
      </w:divBdr>
      <w:divsChild>
        <w:div w:id="947540541">
          <w:marLeft w:val="0"/>
          <w:marRight w:val="0"/>
          <w:marTop w:val="0"/>
          <w:marBottom w:val="0"/>
          <w:divBdr>
            <w:top w:val="none" w:sz="0" w:space="0" w:color="auto"/>
            <w:left w:val="none" w:sz="0" w:space="0" w:color="auto"/>
            <w:bottom w:val="none" w:sz="0" w:space="0" w:color="auto"/>
            <w:right w:val="none" w:sz="0" w:space="0" w:color="auto"/>
          </w:divBdr>
          <w:divsChild>
            <w:div w:id="1599406742">
              <w:marLeft w:val="0"/>
              <w:marRight w:val="0"/>
              <w:marTop w:val="0"/>
              <w:marBottom w:val="0"/>
              <w:divBdr>
                <w:top w:val="none" w:sz="0" w:space="0" w:color="auto"/>
                <w:left w:val="none" w:sz="0" w:space="0" w:color="auto"/>
                <w:bottom w:val="none" w:sz="0" w:space="0" w:color="auto"/>
                <w:right w:val="none" w:sz="0" w:space="0" w:color="auto"/>
              </w:divBdr>
            </w:div>
          </w:divsChild>
        </w:div>
        <w:div w:id="1047680953">
          <w:marLeft w:val="0"/>
          <w:marRight w:val="0"/>
          <w:marTop w:val="240"/>
          <w:marBottom w:val="0"/>
          <w:divBdr>
            <w:top w:val="none" w:sz="0" w:space="0" w:color="auto"/>
            <w:left w:val="none" w:sz="0" w:space="0" w:color="auto"/>
            <w:bottom w:val="none" w:sz="0" w:space="0" w:color="auto"/>
            <w:right w:val="none" w:sz="0" w:space="0" w:color="auto"/>
          </w:divBdr>
          <w:divsChild>
            <w:div w:id="451441921">
              <w:marLeft w:val="0"/>
              <w:marRight w:val="0"/>
              <w:marTop w:val="0"/>
              <w:marBottom w:val="0"/>
              <w:divBdr>
                <w:top w:val="none" w:sz="0" w:space="0" w:color="auto"/>
                <w:left w:val="none" w:sz="0" w:space="0" w:color="auto"/>
                <w:bottom w:val="none" w:sz="0" w:space="0" w:color="auto"/>
                <w:right w:val="none" w:sz="0" w:space="0" w:color="auto"/>
              </w:divBdr>
            </w:div>
            <w:div w:id="14354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www.futura-sciences.com/planete/actualites/ocean-apres-empreinte-carbone-empreinte-foret-voici-empreinte-ocean-14620/"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inpn.mnhn.fr/docs/communication/livretInpn/LIVRET_INPN_2019.pdf"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1F6JGk51_l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577</Words>
  <Characters>3178</Characters>
  <Application>Microsoft Office Word</Application>
  <DocSecurity>0</DocSecurity>
  <Lines>26</Lines>
  <Paragraphs>7</Paragraphs>
  <ScaleCrop>false</ScaleCrop>
  <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mickael et sophie boutin</dc:creator>
  <cp:keywords/>
  <dc:description/>
  <cp:lastModifiedBy>mickael et sophie boutin</cp:lastModifiedBy>
  <cp:revision>4</cp:revision>
  <dcterms:created xsi:type="dcterms:W3CDTF">2023-07-25T12:50:00Z</dcterms:created>
  <dcterms:modified xsi:type="dcterms:W3CDTF">2023-11-15T16:41:00Z</dcterms:modified>
</cp:coreProperties>
</file>