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10" w:rsidRDefault="000E6A10" w:rsidP="000E6A10">
      <w:pPr>
        <w:spacing w:after="0" w:line="240" w:lineRule="auto"/>
        <w:rPr>
          <w:b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1776"/>
        <w:gridCol w:w="8680"/>
      </w:tblGrid>
      <w:tr w:rsidR="000E6A10" w:rsidTr="000E6A10">
        <w:tc>
          <w:tcPr>
            <w:tcW w:w="1776" w:type="dxa"/>
          </w:tcPr>
          <w:p w:rsidR="000E6A10" w:rsidRDefault="000E6A10" w:rsidP="000E6A10">
            <w:pPr>
              <w:rPr>
                <w:b/>
                <w:bCs/>
                <w:u w:val="single"/>
              </w:rPr>
            </w:pPr>
            <w:bookmarkStart w:id="0" w:name="_Hlk144224397"/>
            <w:r w:rsidRPr="002E0D9E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6C15F44" wp14:editId="537088D2">
                  <wp:extent cx="774700" cy="774700"/>
                  <wp:effectExtent l="76200" t="76200" r="139700" b="139700"/>
                  <wp:docPr id="1224889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88978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63" cy="77866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</w:tcPr>
          <w:p w:rsidR="000E6A10" w:rsidRDefault="000E6A10" w:rsidP="000E6A10">
            <w:pPr>
              <w:spacing w:line="293" w:lineRule="exact"/>
              <w:ind w:left="468" w:right="468"/>
              <w:jc w:val="center"/>
              <w:rPr>
                <w:rFonts w:ascii="Arial" w:hAnsi="Arial" w:cs="Arial"/>
                <w:b/>
                <w:sz w:val="40"/>
                <w:szCs w:val="36"/>
              </w:rPr>
            </w:pPr>
          </w:p>
          <w:p w:rsidR="000E6A10" w:rsidRPr="005E2874" w:rsidRDefault="000E6A10" w:rsidP="000E6A10">
            <w:pPr>
              <w:spacing w:line="293" w:lineRule="exact"/>
              <w:ind w:left="468" w:right="468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La communication entre individus de la même espèce et transmission des allèles</w:t>
            </w:r>
          </w:p>
        </w:tc>
      </w:tr>
      <w:tr w:rsidR="000E6A10" w:rsidTr="000E6A10">
        <w:trPr>
          <w:trHeight w:val="1519"/>
        </w:trPr>
        <w:tc>
          <w:tcPr>
            <w:tcW w:w="1776" w:type="dxa"/>
          </w:tcPr>
          <w:p w:rsidR="000E6A10" w:rsidRDefault="000E6A10" w:rsidP="000E6A1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Compétences travaillées</w:t>
            </w:r>
          </w:p>
        </w:tc>
        <w:tc>
          <w:tcPr>
            <w:tcW w:w="8800" w:type="dxa"/>
          </w:tcPr>
          <w:p w:rsidR="000E6A10" w:rsidRPr="00F01711" w:rsidRDefault="000E6A10" w:rsidP="000E6A10">
            <w:pPr>
              <w:pStyle w:val="TableParagraph"/>
              <w:spacing w:before="12"/>
              <w:ind w:left="40"/>
              <w:rPr>
                <w:rFonts w:ascii="Arial" w:hAnsi="Arial" w:cs="Arial"/>
                <w:szCs w:val="28"/>
              </w:rPr>
            </w:pPr>
          </w:p>
          <w:p w:rsidR="000E6A10" w:rsidRDefault="000E6A10" w:rsidP="000E6A10">
            <w:pPr>
              <w:rPr>
                <w:rFonts w:ascii="Arial" w:hAnsi="Arial" w:cs="Arial"/>
                <w:w w:val="105"/>
                <w:szCs w:val="28"/>
              </w:rPr>
            </w:pPr>
            <w:r w:rsidRPr="00F01711">
              <w:rPr>
                <w:rFonts w:ascii="Arial" w:hAnsi="Arial" w:cs="Arial"/>
                <w:w w:val="105"/>
                <w:szCs w:val="28"/>
              </w:rPr>
              <w:t>-communiquer sous la forme d’un tableau de synthèse</w:t>
            </w:r>
          </w:p>
          <w:p w:rsidR="000E6A10" w:rsidRPr="00F01711" w:rsidRDefault="000E6A10" w:rsidP="000E6A10">
            <w:pPr>
              <w:rPr>
                <w:rFonts w:ascii="Arial" w:hAnsi="Arial" w:cs="Arial"/>
                <w:w w:val="105"/>
                <w:szCs w:val="28"/>
              </w:rPr>
            </w:pPr>
            <w:r>
              <w:rPr>
                <w:rFonts w:ascii="Arial" w:hAnsi="Arial" w:cs="Arial"/>
                <w:w w:val="105"/>
                <w:szCs w:val="28"/>
              </w:rPr>
              <w:t>- lire et interpréter des données que j’ai mises en relation.</w:t>
            </w:r>
          </w:p>
          <w:p w:rsidR="000E6A10" w:rsidRPr="00F01711" w:rsidRDefault="000E6A10" w:rsidP="000E6A10">
            <w:pPr>
              <w:rPr>
                <w:rFonts w:ascii="Arial" w:hAnsi="Arial" w:cs="Arial"/>
                <w:szCs w:val="28"/>
              </w:rPr>
            </w:pPr>
          </w:p>
        </w:tc>
      </w:tr>
      <w:bookmarkEnd w:id="0"/>
    </w:tbl>
    <w:p w:rsidR="000E6A10" w:rsidRDefault="000E6A10" w:rsidP="000E6A10">
      <w:pPr>
        <w:spacing w:after="0" w:line="240" w:lineRule="auto"/>
        <w:rPr>
          <w:b/>
          <w:sz w:val="18"/>
          <w:szCs w:val="18"/>
        </w:rPr>
      </w:pPr>
    </w:p>
    <w:p w:rsidR="000E6A10" w:rsidRPr="00CA2EF2" w:rsidRDefault="000E6A10" w:rsidP="000E6A10">
      <w:pPr>
        <w:spacing w:after="0" w:line="240" w:lineRule="auto"/>
        <w:rPr>
          <w:b/>
          <w:sz w:val="18"/>
          <w:szCs w:val="18"/>
        </w:rPr>
      </w:pPr>
      <w:r w:rsidRPr="00CA2EF2">
        <w:rPr>
          <w:b/>
          <w:sz w:val="18"/>
          <w:szCs w:val="18"/>
        </w:rPr>
        <w:t xml:space="preserve">Consignes : </w:t>
      </w:r>
    </w:p>
    <w:p w:rsidR="000E6A10" w:rsidRDefault="000E6A10" w:rsidP="000E6A10">
      <w:pPr>
        <w:spacing w:after="0" w:line="240" w:lineRule="auto"/>
        <w:rPr>
          <w:b/>
          <w:sz w:val="18"/>
          <w:szCs w:val="18"/>
        </w:rPr>
      </w:pPr>
    </w:p>
    <w:p w:rsidR="00960186" w:rsidRPr="00CA2EF2" w:rsidRDefault="00960186" w:rsidP="000E6A10">
      <w:pPr>
        <w:spacing w:after="0" w:line="240" w:lineRule="auto"/>
        <w:rPr>
          <w:b/>
          <w:sz w:val="18"/>
          <w:szCs w:val="18"/>
        </w:rPr>
      </w:pPr>
      <w:r w:rsidRPr="00CA2EF2">
        <w:rPr>
          <w:b/>
          <w:sz w:val="18"/>
          <w:szCs w:val="18"/>
        </w:rPr>
        <w:t xml:space="preserve">1. Complète le </w:t>
      </w:r>
      <w:proofErr w:type="gramStart"/>
      <w:r w:rsidRPr="00CA2EF2">
        <w:rPr>
          <w:b/>
          <w:sz w:val="18"/>
          <w:szCs w:val="18"/>
        </w:rPr>
        <w:t>tableau  à</w:t>
      </w:r>
      <w:proofErr w:type="gramEnd"/>
      <w:r w:rsidRPr="00CA2EF2">
        <w:rPr>
          <w:b/>
          <w:sz w:val="18"/>
          <w:szCs w:val="18"/>
        </w:rPr>
        <w:t xml:space="preserve"> l’aide des documents </w:t>
      </w:r>
      <w:r w:rsidR="00CC047C">
        <w:rPr>
          <w:b/>
          <w:sz w:val="18"/>
          <w:szCs w:val="18"/>
        </w:rPr>
        <w:t>1à 4.</w:t>
      </w:r>
    </w:p>
    <w:p w:rsidR="00960186" w:rsidRPr="00CA2EF2" w:rsidRDefault="00CA2EF2" w:rsidP="000E6A1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2. Explique pourquoi on peut dire que la sélection sexuelle est</w:t>
      </w:r>
      <w:r w:rsidR="00C95E5B">
        <w:rPr>
          <w:b/>
          <w:sz w:val="18"/>
          <w:szCs w:val="18"/>
        </w:rPr>
        <w:t xml:space="preserve"> un type de sélection naturelle (document 8)</w:t>
      </w:r>
    </w:p>
    <w:p w:rsidR="003163B7" w:rsidRDefault="003163B7" w:rsidP="00B04623">
      <w:pPr>
        <w:jc w:val="center"/>
        <w:rPr>
          <w:sz w:val="18"/>
          <w:szCs w:val="18"/>
          <w:u w:val="single"/>
        </w:rPr>
      </w:pPr>
    </w:p>
    <w:p w:rsidR="00EA15CB" w:rsidRPr="00CA2EF2" w:rsidRDefault="00EA15CB" w:rsidP="00B04623">
      <w:pPr>
        <w:jc w:val="center"/>
        <w:rPr>
          <w:sz w:val="18"/>
          <w:szCs w:val="18"/>
          <w:u w:val="single"/>
        </w:rPr>
      </w:pPr>
      <w:r w:rsidRPr="00CA2EF2">
        <w:rPr>
          <w:sz w:val="18"/>
          <w:szCs w:val="18"/>
          <w:u w:val="single"/>
        </w:rPr>
        <w:t xml:space="preserve">Document </w:t>
      </w:r>
      <w:r w:rsidR="003163B7">
        <w:rPr>
          <w:sz w:val="18"/>
          <w:szCs w:val="18"/>
          <w:u w:val="single"/>
        </w:rPr>
        <w:t>A</w:t>
      </w:r>
      <w:r w:rsidRPr="00CA2EF2">
        <w:rPr>
          <w:sz w:val="18"/>
          <w:szCs w:val="18"/>
          <w:u w:val="single"/>
        </w:rPr>
        <w:t> :</w:t>
      </w:r>
      <w:r w:rsidR="00CA2EF2">
        <w:rPr>
          <w:sz w:val="18"/>
          <w:szCs w:val="18"/>
          <w:u w:val="single"/>
        </w:rPr>
        <w:t xml:space="preserve"> Quelques</w:t>
      </w:r>
      <w:r w:rsidRPr="00CA2EF2">
        <w:rPr>
          <w:sz w:val="18"/>
          <w:szCs w:val="18"/>
          <w:u w:val="single"/>
        </w:rPr>
        <w:t xml:space="preserve"> mode</w:t>
      </w:r>
      <w:r w:rsidR="00CA2EF2">
        <w:rPr>
          <w:sz w:val="18"/>
          <w:szCs w:val="18"/>
          <w:u w:val="single"/>
        </w:rPr>
        <w:t xml:space="preserve">s de communication </w:t>
      </w:r>
      <w:r w:rsidRPr="00CA2EF2">
        <w:rPr>
          <w:sz w:val="18"/>
          <w:szCs w:val="18"/>
          <w:u w:val="single"/>
        </w:rPr>
        <w:t>chez les animaux</w:t>
      </w:r>
    </w:p>
    <w:tbl>
      <w:tblPr>
        <w:tblStyle w:val="Grilledutableau"/>
        <w:tblW w:w="10866" w:type="dxa"/>
        <w:tblLayout w:type="fixed"/>
        <w:tblLook w:val="04A0" w:firstRow="1" w:lastRow="0" w:firstColumn="1" w:lastColumn="0" w:noHBand="0" w:noVBand="1"/>
      </w:tblPr>
      <w:tblGrid>
        <w:gridCol w:w="2172"/>
        <w:gridCol w:w="2172"/>
        <w:gridCol w:w="2174"/>
        <w:gridCol w:w="2174"/>
        <w:gridCol w:w="2174"/>
      </w:tblGrid>
      <w:tr w:rsidR="00CA2EF2" w:rsidRPr="00CA2EF2" w:rsidTr="00CA2EF2">
        <w:trPr>
          <w:trHeight w:val="211"/>
        </w:trPr>
        <w:tc>
          <w:tcPr>
            <w:tcW w:w="2172" w:type="dxa"/>
          </w:tcPr>
          <w:p w:rsidR="00CA2EF2" w:rsidRPr="00CA2EF2" w:rsidRDefault="00CA2EF2">
            <w:pPr>
              <w:rPr>
                <w:sz w:val="18"/>
                <w:szCs w:val="18"/>
              </w:rPr>
            </w:pPr>
            <w:bookmarkStart w:id="1" w:name="_Hlk156465546"/>
          </w:p>
        </w:tc>
        <w:tc>
          <w:tcPr>
            <w:tcW w:w="2172" w:type="dxa"/>
          </w:tcPr>
          <w:p w:rsidR="00CB34AB" w:rsidRDefault="00CA2EF2" w:rsidP="00CB34A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A2EF2">
              <w:rPr>
                <w:sz w:val="18"/>
                <w:szCs w:val="18"/>
              </w:rPr>
              <w:t xml:space="preserve">Document </w:t>
            </w:r>
            <w:r w:rsidR="00CB34AB">
              <w:rPr>
                <w:sz w:val="18"/>
                <w:szCs w:val="18"/>
              </w:rPr>
              <w:t xml:space="preserve">1 </w:t>
            </w:r>
            <w:r w:rsidR="00CB34AB" w:rsidRPr="00CA2EF2">
              <w:rPr>
                <w:b/>
                <w:sz w:val="18"/>
                <w:szCs w:val="18"/>
                <w:u w:val="single"/>
              </w:rPr>
              <w:t>paon</w:t>
            </w:r>
          </w:p>
          <w:p w:rsidR="00CA2EF2" w:rsidRPr="00CA2EF2" w:rsidRDefault="00CA2EF2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</w:tcPr>
          <w:p w:rsidR="00CA2EF2" w:rsidRPr="00CA2EF2" w:rsidRDefault="00CA2EF2">
            <w:pPr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>Document</w:t>
            </w:r>
            <w:r w:rsidR="00CB34AB">
              <w:rPr>
                <w:sz w:val="18"/>
                <w:szCs w:val="18"/>
              </w:rPr>
              <w:t xml:space="preserve"> 2 </w:t>
            </w:r>
            <w:r w:rsidR="00CB34AB" w:rsidRPr="00CA2EF2">
              <w:rPr>
                <w:b/>
                <w:sz w:val="18"/>
                <w:szCs w:val="18"/>
                <w:u w:val="single"/>
              </w:rPr>
              <w:t>grillons</w:t>
            </w:r>
          </w:p>
        </w:tc>
        <w:tc>
          <w:tcPr>
            <w:tcW w:w="2174" w:type="dxa"/>
          </w:tcPr>
          <w:p w:rsidR="00CA2EF2" w:rsidRPr="00CA2EF2" w:rsidRDefault="00CA2EF2">
            <w:pPr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 xml:space="preserve">Document </w:t>
            </w:r>
            <w:r w:rsidR="00CB34AB">
              <w:rPr>
                <w:sz w:val="18"/>
                <w:szCs w:val="18"/>
              </w:rPr>
              <w:t>3</w:t>
            </w:r>
            <w:r w:rsidR="00CB34AB" w:rsidRPr="00CA2EF2">
              <w:rPr>
                <w:b/>
                <w:sz w:val="18"/>
                <w:szCs w:val="18"/>
                <w:u w:val="single"/>
              </w:rPr>
              <w:t xml:space="preserve"> Les fourmis</w:t>
            </w:r>
          </w:p>
        </w:tc>
        <w:tc>
          <w:tcPr>
            <w:tcW w:w="2174" w:type="dxa"/>
          </w:tcPr>
          <w:p w:rsidR="00CA2EF2" w:rsidRPr="00CA2EF2" w:rsidRDefault="00CA2EF2">
            <w:pPr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 xml:space="preserve">Document </w:t>
            </w:r>
            <w:r w:rsidR="00CB34AB">
              <w:rPr>
                <w:sz w:val="18"/>
                <w:szCs w:val="18"/>
              </w:rPr>
              <w:t>4</w:t>
            </w:r>
            <w:r w:rsidR="00CB34AB" w:rsidRPr="00CA2EF2">
              <w:rPr>
                <w:b/>
                <w:sz w:val="18"/>
                <w:szCs w:val="18"/>
                <w:u w:val="single"/>
              </w:rPr>
              <w:t xml:space="preserve"> Le bombyx</w:t>
            </w:r>
          </w:p>
        </w:tc>
      </w:tr>
      <w:tr w:rsidR="00CA2EF2" w:rsidRPr="00CA2EF2" w:rsidTr="00CA2EF2">
        <w:trPr>
          <w:trHeight w:val="832"/>
        </w:trPr>
        <w:tc>
          <w:tcPr>
            <w:tcW w:w="2172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>Emetteur du message</w:t>
            </w:r>
          </w:p>
        </w:tc>
        <w:tc>
          <w:tcPr>
            <w:tcW w:w="2172" w:type="dxa"/>
            <w:vAlign w:val="center"/>
          </w:tcPr>
          <w:p w:rsidR="000E6A10" w:rsidRPr="00CA2EF2" w:rsidRDefault="000E6A10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</w:tr>
      <w:tr w:rsidR="00CA2EF2" w:rsidRPr="00CA2EF2" w:rsidTr="00CA2EF2">
        <w:trPr>
          <w:trHeight w:val="843"/>
        </w:trPr>
        <w:tc>
          <w:tcPr>
            <w:tcW w:w="2172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>Récepteur du message</w:t>
            </w:r>
          </w:p>
        </w:tc>
        <w:tc>
          <w:tcPr>
            <w:tcW w:w="2172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</w:tr>
      <w:tr w:rsidR="00CA2EF2" w:rsidRPr="00CA2EF2" w:rsidTr="00CA2EF2">
        <w:trPr>
          <w:trHeight w:val="857"/>
        </w:trPr>
        <w:tc>
          <w:tcPr>
            <w:tcW w:w="2172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>Nature du message</w:t>
            </w:r>
          </w:p>
        </w:tc>
        <w:tc>
          <w:tcPr>
            <w:tcW w:w="2172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</w:tr>
      <w:tr w:rsidR="00CA2EF2" w:rsidRPr="00CA2EF2" w:rsidTr="00CA2EF2">
        <w:trPr>
          <w:trHeight w:val="756"/>
        </w:trPr>
        <w:tc>
          <w:tcPr>
            <w:tcW w:w="2172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>But  du message</w:t>
            </w:r>
          </w:p>
        </w:tc>
        <w:tc>
          <w:tcPr>
            <w:tcW w:w="2172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:rsidR="00CA2EF2" w:rsidRPr="00CA2EF2" w:rsidRDefault="00CA2EF2" w:rsidP="00960186">
            <w:pPr>
              <w:rPr>
                <w:sz w:val="18"/>
                <w:szCs w:val="18"/>
              </w:rPr>
            </w:pPr>
          </w:p>
        </w:tc>
      </w:tr>
      <w:bookmarkEnd w:id="1"/>
    </w:tbl>
    <w:p w:rsidR="0021597F" w:rsidRPr="00CA2EF2" w:rsidRDefault="0021597F">
      <w:pPr>
        <w:rPr>
          <w:sz w:val="18"/>
          <w:szCs w:val="18"/>
        </w:rPr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5920"/>
        <w:gridCol w:w="4961"/>
      </w:tblGrid>
      <w:tr w:rsidR="00C95E5B" w:rsidRPr="00CA2EF2" w:rsidTr="00CB34AB">
        <w:tc>
          <w:tcPr>
            <w:tcW w:w="5920" w:type="dxa"/>
          </w:tcPr>
          <w:p w:rsidR="00CC022E" w:rsidRDefault="00CC022E" w:rsidP="00CA2EF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A2EF2">
              <w:rPr>
                <w:b/>
                <w:sz w:val="18"/>
                <w:szCs w:val="18"/>
                <w:u w:val="single"/>
              </w:rPr>
              <w:t xml:space="preserve">DOCUMENT </w:t>
            </w:r>
            <w:r w:rsidR="00CC047C">
              <w:rPr>
                <w:b/>
                <w:sz w:val="18"/>
                <w:szCs w:val="18"/>
                <w:u w:val="single"/>
              </w:rPr>
              <w:t>1</w:t>
            </w:r>
            <w:r w:rsidR="00D854A8" w:rsidRPr="00CA2EF2">
              <w:rPr>
                <w:b/>
                <w:sz w:val="18"/>
                <w:szCs w:val="18"/>
                <w:u w:val="single"/>
              </w:rPr>
              <w:t> : La roue du paon</w:t>
            </w:r>
          </w:p>
          <w:p w:rsidR="00C95E5B" w:rsidRPr="00CA2EF2" w:rsidRDefault="00C95E5B" w:rsidP="00CA2EF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95E5B" w:rsidRPr="00CA2EF2" w:rsidRDefault="00CA2EF2" w:rsidP="00CA2EF2">
            <w:pPr>
              <w:rPr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44450</wp:posOffset>
                  </wp:positionV>
                  <wp:extent cx="2237740" cy="1379220"/>
                  <wp:effectExtent l="0" t="0" r="0" b="0"/>
                  <wp:wrapSquare wrapText="bothSides"/>
                  <wp:docPr id="18" name="Image 18" descr="Résultat de recherche d'images pour &quot;pa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a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134" w:rsidRPr="00CA2EF2">
              <w:rPr>
                <w:sz w:val="18"/>
                <w:szCs w:val="18"/>
              </w:rPr>
              <w:t>Le paon est originaire de l’Inde du Sud et du Sri Lanka où vivent  des tigres et des panthères.</w:t>
            </w:r>
            <w:r w:rsidR="00B04623" w:rsidRPr="00CA2EF2">
              <w:rPr>
                <w:sz w:val="18"/>
                <w:szCs w:val="18"/>
              </w:rPr>
              <w:t xml:space="preserve"> </w:t>
            </w:r>
            <w:r w:rsidR="00D854A8" w:rsidRPr="00CA2EF2">
              <w:rPr>
                <w:sz w:val="18"/>
                <w:szCs w:val="18"/>
              </w:rPr>
              <w:t>Le mâle  et la femelle paon ont des apparences très différentes : on parle de dimorphisme sexuel. La queue imposante du mâle est un signal de communication  visuel pour attir</w:t>
            </w:r>
            <w:r>
              <w:rPr>
                <w:sz w:val="18"/>
                <w:szCs w:val="18"/>
              </w:rPr>
              <w:t>er la femelle. En effet, plus cet attribut</w:t>
            </w:r>
            <w:r w:rsidR="00D854A8" w:rsidRPr="00CA2EF2">
              <w:rPr>
                <w:sz w:val="18"/>
                <w:szCs w:val="18"/>
              </w:rPr>
              <w:t xml:space="preserve"> du paon sera </w:t>
            </w:r>
            <w:r>
              <w:rPr>
                <w:sz w:val="18"/>
                <w:szCs w:val="18"/>
              </w:rPr>
              <w:t xml:space="preserve">dense et riche </w:t>
            </w:r>
            <w:r w:rsidR="00D854A8" w:rsidRPr="00CA2EF2">
              <w:rPr>
                <w:sz w:val="18"/>
                <w:szCs w:val="18"/>
              </w:rPr>
              <w:t xml:space="preserve"> en ocelle</w:t>
            </w:r>
            <w:r w:rsidR="002437EC" w:rsidRPr="00CA2EF2">
              <w:rPr>
                <w:sz w:val="18"/>
                <w:szCs w:val="18"/>
              </w:rPr>
              <w:t>s</w:t>
            </w:r>
            <w:r w:rsidR="00D854A8" w:rsidRPr="00CA2EF2">
              <w:rPr>
                <w:sz w:val="18"/>
                <w:szCs w:val="18"/>
              </w:rPr>
              <w:t xml:space="preserve"> (rond qui ressemble à des yeux) plus le mal se reproduira. En effet,  lorsque la queue du paon est bien fournie cela est signe de bonne santé et </w:t>
            </w:r>
            <w:r>
              <w:rPr>
                <w:sz w:val="18"/>
                <w:szCs w:val="18"/>
              </w:rPr>
              <w:t>cela au</w:t>
            </w:r>
            <w:r w:rsidR="00C95E5B">
              <w:rPr>
                <w:sz w:val="18"/>
                <w:szCs w:val="18"/>
              </w:rPr>
              <w:t>gmente leur succès reproducteur auprès</w:t>
            </w:r>
            <w:r>
              <w:rPr>
                <w:sz w:val="18"/>
                <w:szCs w:val="18"/>
              </w:rPr>
              <w:t xml:space="preserve"> des femelles qui les </w:t>
            </w:r>
            <w:r w:rsidR="00C95E5B">
              <w:rPr>
                <w:sz w:val="18"/>
                <w:szCs w:val="18"/>
              </w:rPr>
              <w:t>choisissent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961" w:type="dxa"/>
          </w:tcPr>
          <w:p w:rsidR="00CC022E" w:rsidRPr="00CA2EF2" w:rsidRDefault="00CC022E" w:rsidP="00CA2EF2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A2EF2">
              <w:rPr>
                <w:b/>
                <w:sz w:val="18"/>
                <w:szCs w:val="18"/>
                <w:u w:val="single"/>
              </w:rPr>
              <w:t xml:space="preserve">DOCUMENT </w:t>
            </w:r>
            <w:r w:rsidR="00CC047C">
              <w:rPr>
                <w:b/>
                <w:sz w:val="18"/>
                <w:szCs w:val="18"/>
                <w:u w:val="single"/>
              </w:rPr>
              <w:t>2</w:t>
            </w:r>
            <w:r w:rsidR="00D854A8" w:rsidRPr="00CA2EF2">
              <w:rPr>
                <w:b/>
                <w:sz w:val="18"/>
                <w:szCs w:val="18"/>
                <w:u w:val="single"/>
              </w:rPr>
              <w:t> :</w:t>
            </w:r>
            <w:r w:rsidR="00F52134" w:rsidRPr="00CA2EF2">
              <w:rPr>
                <w:b/>
                <w:sz w:val="18"/>
                <w:szCs w:val="18"/>
                <w:u w:val="single"/>
              </w:rPr>
              <w:t xml:space="preserve"> le chant des grillons</w:t>
            </w:r>
          </w:p>
          <w:p w:rsidR="00D854A8" w:rsidRPr="00CA2EF2" w:rsidRDefault="00D854A8" w:rsidP="00CA2EF2">
            <w:pPr>
              <w:rPr>
                <w:sz w:val="18"/>
                <w:szCs w:val="18"/>
              </w:rPr>
            </w:pPr>
          </w:p>
          <w:p w:rsidR="00CA2EF2" w:rsidRDefault="00B04623" w:rsidP="00CA2EF2">
            <w:pPr>
              <w:jc w:val="center"/>
              <w:rPr>
                <w:sz w:val="18"/>
                <w:szCs w:val="18"/>
              </w:rPr>
            </w:pPr>
            <w:r w:rsidRPr="00CA2EF2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122226" cy="1263229"/>
                  <wp:effectExtent l="0" t="0" r="0" b="0"/>
                  <wp:docPr id="15" name="Image 15" descr="Résultat de recherche d'images pour &quot;grillon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grillon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166" cy="127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4A8" w:rsidRPr="00CA2EF2" w:rsidRDefault="00F52134" w:rsidP="00CA2EF2">
            <w:pPr>
              <w:jc w:val="center"/>
              <w:rPr>
                <w:sz w:val="18"/>
                <w:szCs w:val="18"/>
              </w:rPr>
            </w:pPr>
            <w:r w:rsidRPr="00CA2EF2">
              <w:rPr>
                <w:sz w:val="18"/>
                <w:szCs w:val="18"/>
              </w:rPr>
              <w:t>Les grillons mâles produisent un son  qui selon son rythme et son intensité  éloigne les</w:t>
            </w:r>
            <w:r w:rsidR="00B04623" w:rsidRPr="00CA2EF2">
              <w:rPr>
                <w:sz w:val="18"/>
                <w:szCs w:val="18"/>
              </w:rPr>
              <w:t xml:space="preserve"> rivaux ou attire les femelles et augmente son succès reproducteur. </w:t>
            </w:r>
            <w:r w:rsidRPr="00CA2EF2">
              <w:rPr>
                <w:sz w:val="18"/>
                <w:szCs w:val="18"/>
              </w:rPr>
              <w:t>Mais l’émission</w:t>
            </w:r>
            <w:r w:rsidR="00FF1E30" w:rsidRPr="00CA2EF2">
              <w:rPr>
                <w:sz w:val="18"/>
                <w:szCs w:val="18"/>
              </w:rPr>
              <w:t xml:space="preserve"> de ce signal sonore</w:t>
            </w:r>
            <w:r w:rsidR="00CA2EF2">
              <w:rPr>
                <w:sz w:val="18"/>
                <w:szCs w:val="18"/>
              </w:rPr>
              <w:t xml:space="preserve"> </w:t>
            </w:r>
            <w:r w:rsidRPr="00CA2EF2">
              <w:rPr>
                <w:sz w:val="18"/>
                <w:szCs w:val="18"/>
              </w:rPr>
              <w:t xml:space="preserve">les </w:t>
            </w:r>
            <w:r w:rsidR="00C95E5B" w:rsidRPr="00CA2EF2">
              <w:rPr>
                <w:sz w:val="18"/>
                <w:szCs w:val="18"/>
              </w:rPr>
              <w:t>rend</w:t>
            </w:r>
            <w:r w:rsidRPr="00CA2EF2">
              <w:rPr>
                <w:sz w:val="18"/>
                <w:szCs w:val="18"/>
              </w:rPr>
              <w:t xml:space="preserve"> également plus détectables par les prédateurs</w:t>
            </w:r>
            <w:r w:rsidR="00B04623" w:rsidRPr="00CA2EF2">
              <w:rPr>
                <w:sz w:val="18"/>
                <w:szCs w:val="18"/>
              </w:rPr>
              <w:t>.</w:t>
            </w:r>
          </w:p>
        </w:tc>
      </w:tr>
      <w:tr w:rsidR="00C95E5B" w:rsidRPr="00CA2EF2" w:rsidTr="00CB34AB">
        <w:trPr>
          <w:trHeight w:val="3946"/>
        </w:trPr>
        <w:tc>
          <w:tcPr>
            <w:tcW w:w="5920" w:type="dxa"/>
          </w:tcPr>
          <w:p w:rsidR="00C95E5B" w:rsidRPr="00CA2EF2" w:rsidRDefault="00C95E5B" w:rsidP="00C95E5B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 xml:space="preserve">DOCUMENT </w:t>
            </w:r>
            <w:r w:rsidR="00CC047C">
              <w:rPr>
                <w:b/>
                <w:sz w:val="18"/>
                <w:szCs w:val="18"/>
                <w:u w:val="single"/>
              </w:rPr>
              <w:t>3</w:t>
            </w:r>
            <w:r w:rsidRPr="00CA2EF2">
              <w:rPr>
                <w:b/>
                <w:sz w:val="18"/>
                <w:szCs w:val="18"/>
                <w:u w:val="single"/>
              </w:rPr>
              <w:t> : Les fourmis</w:t>
            </w:r>
          </w:p>
          <w:p w:rsidR="00C95E5B" w:rsidRPr="00CA2EF2" w:rsidRDefault="00C95E5B" w:rsidP="00C95E5B">
            <w:pPr>
              <w:rPr>
                <w:sz w:val="18"/>
                <w:szCs w:val="18"/>
              </w:rPr>
            </w:pPr>
          </w:p>
          <w:p w:rsidR="00D854A8" w:rsidRPr="00CA2EF2" w:rsidRDefault="00C95E5B" w:rsidP="00C95E5B">
            <w:pPr>
              <w:rPr>
                <w:sz w:val="18"/>
                <w:szCs w:val="18"/>
              </w:rPr>
            </w:pPr>
            <w:r w:rsidRPr="00CA2EF2">
              <w:rPr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-1270</wp:posOffset>
                  </wp:positionV>
                  <wp:extent cx="2096135" cy="1363980"/>
                  <wp:effectExtent l="0" t="0" r="0" b="7620"/>
                  <wp:wrapSquare wrapText="bothSides"/>
                  <wp:docPr id="17" name="Image 17" descr="Résultat de recherche d'images pour &quot;fourmis et  chemin nourritu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fourmis et  chemin nourritu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2EF2">
              <w:rPr>
                <w:sz w:val="18"/>
                <w:szCs w:val="18"/>
              </w:rPr>
              <w:t xml:space="preserve">Les fournis sont des insectes sociaux qui vivent en société organisées. Les tâches sont réparties entre les individus : assurer la reproduction, défense, aller cherche à manger. Dans le dernier cas on constate que les fourmis d’une même colonie empruntent le même chemin pour aller vers une source de nourriture.  Cela se fait grâce à une phéromone : substance odorante que les fourmis déposent au sol quand elles se déplacent. Les fournis empruntent préférentiellement les pistes où la </w:t>
            </w:r>
            <w:r>
              <w:rPr>
                <w:sz w:val="18"/>
                <w:szCs w:val="18"/>
              </w:rPr>
              <w:t>phéromone est la plus abondante. Dans certains cas les phéromones serviront aussi à la défense de la colonie.</w:t>
            </w:r>
          </w:p>
        </w:tc>
        <w:tc>
          <w:tcPr>
            <w:tcW w:w="4961" w:type="dxa"/>
          </w:tcPr>
          <w:p w:rsidR="00C95E5B" w:rsidRPr="00CA2EF2" w:rsidRDefault="00C95E5B" w:rsidP="00C95E5B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DOCUMENT</w:t>
            </w:r>
            <w:r w:rsidR="00CC047C">
              <w:rPr>
                <w:b/>
                <w:sz w:val="18"/>
                <w:szCs w:val="18"/>
                <w:u w:val="single"/>
              </w:rPr>
              <w:t xml:space="preserve"> 4</w:t>
            </w:r>
            <w:r w:rsidRPr="00CA2EF2">
              <w:rPr>
                <w:b/>
                <w:sz w:val="18"/>
                <w:szCs w:val="18"/>
                <w:u w:val="single"/>
              </w:rPr>
              <w:t> : Le bombyx du mûrier mâle</w:t>
            </w:r>
          </w:p>
          <w:p w:rsidR="00C95E5B" w:rsidRPr="00CA2EF2" w:rsidRDefault="00C95E5B" w:rsidP="00C95E5B">
            <w:pPr>
              <w:rPr>
                <w:sz w:val="18"/>
                <w:szCs w:val="18"/>
              </w:rPr>
            </w:pPr>
          </w:p>
          <w:p w:rsidR="00F52134" w:rsidRPr="00CA2EF2" w:rsidRDefault="00C95E5B" w:rsidP="00CA2EF2">
            <w:pPr>
              <w:rPr>
                <w:sz w:val="18"/>
                <w:szCs w:val="18"/>
              </w:rPr>
            </w:pPr>
            <w:r w:rsidRPr="00CA2EF2">
              <w:rPr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-5715</wp:posOffset>
                  </wp:positionV>
                  <wp:extent cx="1856105" cy="1661160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2EF2">
              <w:rPr>
                <w:sz w:val="18"/>
                <w:szCs w:val="18"/>
              </w:rPr>
              <w:t>Chez les insectes la constitution de couples à partir d’individus parfois très éloignés  est souvent basé</w:t>
            </w:r>
            <w:r>
              <w:rPr>
                <w:sz w:val="18"/>
                <w:szCs w:val="18"/>
              </w:rPr>
              <w:t>e</w:t>
            </w:r>
            <w:r w:rsidRPr="00CA2EF2">
              <w:rPr>
                <w:sz w:val="18"/>
                <w:szCs w:val="18"/>
              </w:rPr>
              <w:t xml:space="preserve"> sur une communication chimique olfactive entre mâles et femelles. Très souvent les femelles possèdent une glande qui émettra des phéromones  que les mâles capteront grâce à leurs antennes particulièrement développées qui leur permettent de percevoir l’odeur à une très grande distance.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C047C" w:rsidRDefault="00CC047C" w:rsidP="00CC0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CC0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Partie 2 :</w:t>
      </w:r>
    </w:p>
    <w:p w:rsidR="00E73E05" w:rsidRDefault="00E73E05" w:rsidP="00CC0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10" w:history="1">
        <w:r w:rsidRPr="00641ACE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https://www.lumni.fr/video/charles-darwin-une-affaire-de-seduction</w:t>
        </w:r>
      </w:hyperlink>
    </w:p>
    <w:p w:rsidR="00E73E05" w:rsidRDefault="00E73E05" w:rsidP="00CC0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11" w:history="1">
        <w:r w:rsidRPr="00641ACE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https://www.lumni.fr/video/charles-darwin-des-males-en-competition</w:t>
        </w:r>
      </w:hyperlink>
    </w:p>
    <w:p w:rsidR="00E73E05" w:rsidRDefault="00E73E05" w:rsidP="00CC0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E73E05" w:rsidRDefault="00E73E05" w:rsidP="00E73E05">
      <w:r w:rsidRPr="003A0A0D">
        <w:t>Écrire un texte pour expliquer</w:t>
      </w:r>
      <w:r w:rsidRPr="003A0A0D">
        <w:rPr>
          <w:b/>
        </w:rPr>
        <w:t xml:space="preserve"> le compromis entre la sélection naturelle et la sélection </w:t>
      </w:r>
      <w:proofErr w:type="gramStart"/>
      <w:r>
        <w:rPr>
          <w:b/>
        </w:rPr>
        <w:t xml:space="preserve">sexuelle  </w:t>
      </w:r>
      <w:r w:rsidRPr="003A0A0D">
        <w:t>(</w:t>
      </w:r>
      <w:proofErr w:type="gramEnd"/>
      <w:r w:rsidRPr="003A0A0D">
        <w:t>texte argumenté avec des connecteurs logiques)</w:t>
      </w:r>
      <w:r>
        <w:t xml:space="preserve"> en prenant l’exemple de l’épinoche .</w:t>
      </w:r>
    </w:p>
    <w:p w:rsidR="00E73E05" w:rsidRDefault="00E73E05" w:rsidP="00E73E05">
      <w:r>
        <w:t xml:space="preserve">On rappelle que </w:t>
      </w:r>
      <w:r w:rsidRPr="003A0A0D">
        <w:rPr>
          <w:u w:val="single"/>
        </w:rPr>
        <w:t>l’argument est issu des documents</w:t>
      </w:r>
      <w:r>
        <w:t xml:space="preserve"> (valeurs chiffrées issus des graphiques, tableau) ou d’un texte (phrases à mettre entre guillemets).</w:t>
      </w:r>
    </w:p>
    <w:p w:rsidR="00E73E05" w:rsidRDefault="00E73E05" w:rsidP="00E73E05">
      <w:r w:rsidRPr="003A0A0D">
        <w:rPr>
          <w:u w:val="single"/>
        </w:rPr>
        <w:t>Connecteurs logiques à utiliser</w:t>
      </w:r>
      <w:r>
        <w:t> : or, en effet, pour conclure.</w:t>
      </w:r>
    </w:p>
    <w:p w:rsidR="00E73E05" w:rsidRDefault="00E73E05" w:rsidP="00CC0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CC047C" w:rsidRPr="00CC047C" w:rsidRDefault="00694A78" w:rsidP="00CC0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bookmarkStart w:id="2" w:name="_GoBack"/>
      <w:r w:rsidRPr="00694A7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  <w:lastRenderedPageBreak/>
        <w:drawing>
          <wp:inline distT="0" distB="0" distL="0" distR="0" wp14:anchorId="3A752825" wp14:editId="232BF0AA">
            <wp:extent cx="5950100" cy="5977148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2424"/>
                    <a:stretch/>
                  </pic:blipFill>
                  <pic:spPr bwMode="auto">
                    <a:xfrm>
                      <a:off x="0" y="0"/>
                      <a:ext cx="5978165" cy="600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B04623" w:rsidRPr="00CA2EF2" w:rsidRDefault="00B04623" w:rsidP="00CA2EF2">
      <w:pPr>
        <w:spacing w:line="240" w:lineRule="auto"/>
        <w:rPr>
          <w:i/>
          <w:sz w:val="18"/>
          <w:szCs w:val="18"/>
        </w:rPr>
      </w:pPr>
    </w:p>
    <w:sectPr w:rsidR="00B04623" w:rsidRPr="00CA2EF2" w:rsidSect="00AA79A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71F93"/>
    <w:multiLevelType w:val="hybridMultilevel"/>
    <w:tmpl w:val="C25AB346"/>
    <w:lvl w:ilvl="0" w:tplc="0194FBC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5EF733B"/>
    <w:multiLevelType w:val="multilevel"/>
    <w:tmpl w:val="BD0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31A2F"/>
    <w:multiLevelType w:val="hybridMultilevel"/>
    <w:tmpl w:val="D8EA2724"/>
    <w:lvl w:ilvl="0" w:tplc="ADC4AD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F"/>
    <w:rsid w:val="000B4FEE"/>
    <w:rsid w:val="000E5922"/>
    <w:rsid w:val="000E6A10"/>
    <w:rsid w:val="00186640"/>
    <w:rsid w:val="001E2F57"/>
    <w:rsid w:val="0021597F"/>
    <w:rsid w:val="002437EC"/>
    <w:rsid w:val="003163B7"/>
    <w:rsid w:val="00444040"/>
    <w:rsid w:val="004C4498"/>
    <w:rsid w:val="0051685C"/>
    <w:rsid w:val="006273C1"/>
    <w:rsid w:val="00694A78"/>
    <w:rsid w:val="007C3C92"/>
    <w:rsid w:val="00802EEF"/>
    <w:rsid w:val="00947046"/>
    <w:rsid w:val="00960186"/>
    <w:rsid w:val="00977D0C"/>
    <w:rsid w:val="00AA79A3"/>
    <w:rsid w:val="00B04623"/>
    <w:rsid w:val="00B662AB"/>
    <w:rsid w:val="00C10E68"/>
    <w:rsid w:val="00C95E5B"/>
    <w:rsid w:val="00CA2EF2"/>
    <w:rsid w:val="00CB34AB"/>
    <w:rsid w:val="00CC022E"/>
    <w:rsid w:val="00CC047C"/>
    <w:rsid w:val="00D164BF"/>
    <w:rsid w:val="00D854A8"/>
    <w:rsid w:val="00DE4B0B"/>
    <w:rsid w:val="00E12663"/>
    <w:rsid w:val="00E20784"/>
    <w:rsid w:val="00E73E05"/>
    <w:rsid w:val="00E9443A"/>
    <w:rsid w:val="00EA15CB"/>
    <w:rsid w:val="00F52134"/>
    <w:rsid w:val="00FF1E30"/>
    <w:rsid w:val="00FF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DBE9"/>
  <w15:docId w15:val="{458FBCA6-5B95-4E16-B70D-B4099B6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4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498"/>
    <w:rPr>
      <w:rFonts w:ascii="Tahoma" w:hAnsi="Tahoma" w:cs="Tahoma"/>
      <w:sz w:val="16"/>
      <w:szCs w:val="16"/>
    </w:rPr>
  </w:style>
  <w:style w:type="character" w:customStyle="1" w:styleId="lls-new-viewer-tooltip">
    <w:name w:val="lls-new-viewer-tooltip"/>
    <w:basedOn w:val="Policepardfaut"/>
    <w:rsid w:val="00CC047C"/>
  </w:style>
  <w:style w:type="paragraph" w:customStyle="1" w:styleId="TableParagraph">
    <w:name w:val="Table Paragraph"/>
    <w:basedOn w:val="Normal"/>
    <w:uiPriority w:val="1"/>
    <w:qFormat/>
    <w:rsid w:val="003163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Lienhypertexte">
    <w:name w:val="Hyperlink"/>
    <w:basedOn w:val="Policepardfaut"/>
    <w:uiPriority w:val="99"/>
    <w:unhideWhenUsed/>
    <w:rsid w:val="00E73E0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lumni.fr/video/charles-darwin-des-males-en-competitio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umni.fr/video/charles-darwin-une-affaire-de-seduc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Mariiina67@live.fr</dc:creator>
  <cp:lastModifiedBy>Sophie BOUTIN-PUECH</cp:lastModifiedBy>
  <cp:revision>3</cp:revision>
  <cp:lastPrinted>2024-01-18T09:20:00Z</cp:lastPrinted>
  <dcterms:created xsi:type="dcterms:W3CDTF">2024-01-18T09:20:00Z</dcterms:created>
  <dcterms:modified xsi:type="dcterms:W3CDTF">2024-02-01T14:10:00Z</dcterms:modified>
</cp:coreProperties>
</file>