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Style w:val="Grilledutableau"/>
        <w:tblW w:w="1017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417"/>
        <w:gridCol w:w="3370"/>
        <w:gridCol w:w="3387"/>
      </w:tblGrid>
      <w:tr>
        <w:trPr>
          <w:trHeight w:val="557" w:hRule="atLeast"/>
        </w:trPr>
        <w:tc>
          <w:tcPr>
            <w:tcW w:w="3417" w:type="dxa"/>
            <w:tcBorders>
              <w:top w:val="single" w:sz="12" w:space="0" w:color="943634"/>
              <w:left w:val="single" w:sz="12" w:space="0" w:color="943634"/>
              <w:bottom w:val="single" w:sz="12" w:space="0" w:color="943634"/>
              <w:right w:val="single" w:sz="12" w:space="0" w:color="943634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pacing w:before="120" w:after="120"/>
              <w:jc w:val="center"/>
              <w:rPr>
                <w:b/>
                <w:b/>
              </w:rPr>
            </w:pPr>
            <w:r>
              <w:rPr>
                <w:rFonts w:eastAsia="Calibri" w:cs="Times New Roman"/>
                <w:b/>
                <w:kern w:val="0"/>
                <w:sz w:val="20"/>
                <w:szCs w:val="20"/>
                <w:lang w:val="fr-FR" w:bidi="ar-SA"/>
              </w:rPr>
              <w:t>NOM : ………………………………………..</w:t>
            </w:r>
          </w:p>
          <w:p>
            <w:pPr>
              <w:pStyle w:val="Normal"/>
              <w:widowControl w:val="false"/>
              <w:suppressAutoHyphens w:val="true"/>
              <w:spacing w:before="120" w:after="120"/>
              <w:jc w:val="center"/>
              <w:rPr>
                <w:b/>
                <w:b/>
              </w:rPr>
            </w:pPr>
            <w:r>
              <w:rPr>
                <w:rFonts w:eastAsia="Calibri" w:cs="Times New Roman"/>
                <w:b/>
                <w:kern w:val="0"/>
                <w:sz w:val="20"/>
                <w:szCs w:val="20"/>
                <w:lang w:val="fr-FR" w:bidi="ar-SA"/>
              </w:rPr>
              <w:t>Prénom : …………………………………….</w:t>
            </w:r>
          </w:p>
        </w:tc>
        <w:tc>
          <w:tcPr>
            <w:tcW w:w="3370" w:type="dxa"/>
            <w:tcBorders>
              <w:top w:val="single" w:sz="12" w:space="0" w:color="943634"/>
              <w:left w:val="single" w:sz="12" w:space="0" w:color="943634"/>
              <w:bottom w:val="single" w:sz="12" w:space="0" w:color="943634"/>
              <w:right w:val="single" w:sz="12" w:space="0" w:color="943634"/>
            </w:tcBorders>
            <w:shd w:color="auto" w:fill="E5B8B7" w:themeFill="accent2" w:themeFillTint="66" w:val="clear"/>
            <w:vAlign w:val="center"/>
          </w:tcPr>
          <w:p>
            <w:pPr>
              <w:pStyle w:val="Normal"/>
              <w:widowControl w:val="false"/>
              <w:suppressAutoHyphens w:val="true"/>
              <w:spacing w:before="120" w:after="120"/>
              <w:jc w:val="center"/>
              <w:rPr>
                <w:b/>
                <w:b/>
                <w:sz w:val="24"/>
                <w:szCs w:val="24"/>
              </w:rPr>
            </w:pPr>
            <w:r>
              <w:rPr>
                <w:rFonts w:eastAsia="Calibri" w:cs="Times New Roman"/>
                <w:b/>
                <w:kern w:val="0"/>
                <w:sz w:val="24"/>
                <w:szCs w:val="24"/>
                <w:lang w:val="fr-FR" w:bidi="ar-SA"/>
              </w:rPr>
              <w:t>CHIMIE</w:t>
            </w:r>
          </w:p>
        </w:tc>
        <w:tc>
          <w:tcPr>
            <w:tcW w:w="3387" w:type="dxa"/>
            <w:tcBorders>
              <w:top w:val="single" w:sz="12" w:space="0" w:color="943634"/>
              <w:left w:val="single" w:sz="12" w:space="0" w:color="943634"/>
              <w:bottom w:val="single" w:sz="12" w:space="0" w:color="943634"/>
              <w:right w:val="single" w:sz="12" w:space="0" w:color="943634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pacing w:before="120" w:after="120"/>
              <w:jc w:val="center"/>
              <w:rPr>
                <w:b/>
                <w:b/>
              </w:rPr>
            </w:pPr>
            <w:r>
              <w:rPr>
                <w:rFonts w:eastAsia="Calibri" w:cs="Times New Roman"/>
                <w:b/>
                <w:kern w:val="0"/>
                <w:sz w:val="20"/>
                <w:szCs w:val="20"/>
                <w:lang w:val="fr-FR" w:bidi="ar-SA"/>
              </w:rPr>
              <w:t>TP : reconnaissance des halogènes</w:t>
            </w:r>
          </w:p>
          <w:p>
            <w:pPr>
              <w:pStyle w:val="Normal"/>
              <w:widowControl w:val="false"/>
              <w:suppressAutoHyphens w:val="true"/>
              <w:spacing w:before="120" w:after="120"/>
              <w:jc w:val="center"/>
              <w:rPr>
                <w:b/>
                <w:b/>
                <w:sz w:val="24"/>
                <w:szCs w:val="24"/>
              </w:rPr>
            </w:pPr>
            <w:r>
              <w:rPr>
                <w:rFonts w:eastAsia="Calibri" w:cs="Times New Roman"/>
                <w:b/>
                <w:kern w:val="0"/>
                <w:sz w:val="24"/>
                <w:szCs w:val="24"/>
                <w:lang w:val="fr-FR" w:bidi="ar-SA"/>
              </w:rPr>
              <w:t>Note :              / 10</w:t>
            </w:r>
          </w:p>
        </w:tc>
      </w:tr>
    </w:tbl>
    <w:p>
      <w:pPr>
        <w:pStyle w:val="Normal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Normal"/>
        <w:rPr>
          <w:sz w:val="20"/>
          <w:szCs w:val="20"/>
        </w:rPr>
      </w:pPr>
      <w:r>
        <w:rPr>
          <w:rFonts w:cs="Calibri" w:cstheme="minorHAnsi"/>
          <w:b/>
          <w:bCs/>
          <w:i/>
          <w:iCs/>
          <w:sz w:val="20"/>
          <w:szCs w:val="20"/>
          <w:u w:val="single"/>
        </w:rPr>
        <w:t>Rappel :</w:t>
      </w:r>
      <w:r>
        <w:rPr>
          <w:rFonts w:cs="Calibri" w:cstheme="minorHAnsi"/>
          <w:sz w:val="20"/>
          <w:szCs w:val="20"/>
        </w:rPr>
        <w:t xml:space="preserve"> avant chaque manipulation, bien observer les pictogrammes présents sur les flacons des solutions et bien écouter les consignes du professeur.</w:t>
      </w:r>
    </w:p>
    <w:p>
      <w:pPr>
        <w:pStyle w:val="Normal"/>
        <w:rPr>
          <w:sz w:val="20"/>
          <w:szCs w:val="20"/>
        </w:rPr>
      </w:pPr>
      <w:r>
        <w:rPr>
          <w:rFonts w:cs="Calibri" w:cstheme="minorHAnsi"/>
          <w:sz w:val="20"/>
          <w:szCs w:val="20"/>
        </w:rPr>
        <w:t>A partir des observations et des consignes énoncées, s’équiper en conséquence.</w:t>
      </w:r>
    </w:p>
    <w:p>
      <w:pPr>
        <w:pStyle w:val="Normal"/>
        <w:rPr>
          <w:sz w:val="20"/>
          <w:szCs w:val="20"/>
        </w:rPr>
      </w:pPr>
      <w:r>
        <w:rPr>
          <w:rFonts w:cs="Calibri" w:cstheme="minorHAnsi"/>
          <w:sz w:val="20"/>
          <w:szCs w:val="20"/>
        </w:rPr>
        <w:t>Faut-il un équipement obligatoire pour les expériences à réaliser ? Justifier :………………………………………………………………………………………………………………………………………………………………………………………………….</w:t>
      </w:r>
    </w:p>
    <w:p>
      <w:pPr>
        <w:pStyle w:val="Normal"/>
        <w:rPr>
          <w:sz w:val="20"/>
          <w:szCs w:val="20"/>
        </w:rPr>
      </w:pPr>
      <w:r>
        <w:rPr>
          <w:rFonts w:cs="Calibri" w:cstheme="minorHAnsi"/>
          <w:sz w:val="20"/>
          <w:szCs w:val="20"/>
        </w:rPr>
        <w:t>Répertoriez les solutions ioniques présentes sur votre paillasse.</w:t>
      </w:r>
    </w:p>
    <w:tbl>
      <w:tblPr>
        <w:tblStyle w:val="Grilledutableau"/>
        <w:tblW w:w="10195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548"/>
        <w:gridCol w:w="2549"/>
        <w:gridCol w:w="2549"/>
        <w:gridCol w:w="2548"/>
      </w:tblGrid>
      <w:tr>
        <w:trPr/>
        <w:tc>
          <w:tcPr>
            <w:tcW w:w="2548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fr-FR" w:bidi="ar-SA"/>
              </w:rPr>
              <w:t>Solution 1</w:t>
            </w:r>
          </w:p>
        </w:tc>
        <w:tc>
          <w:tcPr>
            <w:tcW w:w="2549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fr-FR" w:bidi="ar-SA"/>
              </w:rPr>
              <w:t>Solution 2</w:t>
            </w:r>
          </w:p>
        </w:tc>
        <w:tc>
          <w:tcPr>
            <w:tcW w:w="2549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fr-FR" w:bidi="ar-SA"/>
              </w:rPr>
              <w:t>Solution 3</w:t>
            </w:r>
          </w:p>
        </w:tc>
        <w:tc>
          <w:tcPr>
            <w:tcW w:w="2548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fr-FR" w:bidi="ar-SA"/>
              </w:rPr>
              <w:t>Solution 4</w:t>
            </w:r>
          </w:p>
        </w:tc>
      </w:tr>
      <w:tr>
        <w:trPr/>
        <w:tc>
          <w:tcPr>
            <w:tcW w:w="2548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before="120"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fr-FR" w:bidi="ar-SA"/>
              </w:rPr>
              <w:t>Chlorure de cuivre</w:t>
            </w:r>
          </w:p>
          <w:p>
            <w:pPr>
              <w:pStyle w:val="Normal"/>
              <w:widowControl w:val="false"/>
              <w:suppressAutoHyphens w:val="true"/>
              <w:spacing w:before="120"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fr-FR" w:bidi="ar-SA"/>
              </w:rPr>
              <w:t>(Cu C</w:t>
            </w:r>
            <w:r>
              <w:rPr>
                <w:rFonts w:eastAsia="Calibri" w:cs="Calibri" w:ascii="Borealis" w:hAnsi="Borealis" w:cstheme="minorHAnsi"/>
                <w:kern w:val="0"/>
                <w:sz w:val="20"/>
                <w:szCs w:val="20"/>
                <w:lang w:val="fr-FR" w:bidi="ar-SA"/>
              </w:rPr>
              <w:t>l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vertAlign w:val="subscript"/>
                <w:lang w:val="fr-FR" w:bidi="ar-SA"/>
              </w:rPr>
              <w:t>2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fr-FR" w:bidi="ar-SA"/>
              </w:rPr>
              <w:t>)</w:t>
            </w:r>
          </w:p>
        </w:tc>
        <w:tc>
          <w:tcPr>
            <w:tcW w:w="2549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before="120"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fr-FR" w:bidi="ar-SA"/>
              </w:rPr>
              <w:t>Sulfate de cuivre</w:t>
            </w:r>
          </w:p>
          <w:p>
            <w:pPr>
              <w:pStyle w:val="Normal"/>
              <w:widowControl w:val="false"/>
              <w:suppressAutoHyphens w:val="true"/>
              <w:spacing w:before="120"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fr-FR" w:bidi="ar-SA"/>
              </w:rPr>
              <w:t>(Cu SO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vertAlign w:val="subscript"/>
                <w:lang w:val="fr-FR" w:bidi="ar-SA"/>
              </w:rPr>
              <w:t>4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fr-FR" w:bidi="ar-SA"/>
              </w:rPr>
              <w:t>)</w:t>
            </w:r>
          </w:p>
        </w:tc>
        <w:tc>
          <w:tcPr>
            <w:tcW w:w="2549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before="120" w:after="0"/>
              <w:jc w:val="center"/>
              <w:rPr>
                <w:rFonts w:eastAsia="Calibri" w:cs="Calibri"/>
                <w:kern w:val="0"/>
                <w:sz w:val="20"/>
                <w:szCs w:val="20"/>
                <w:lang w:val="fr-FR" w:eastAsia="en-US" w:bidi="ar-SA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fr-FR" w:eastAsia="en-US" w:bidi="ar-SA"/>
              </w:rPr>
              <w:t>Bromure de cuivre</w:t>
            </w:r>
          </w:p>
          <w:p>
            <w:pPr>
              <w:pStyle w:val="Normal"/>
              <w:widowControl w:val="false"/>
              <w:suppressAutoHyphens w:val="true"/>
              <w:spacing w:before="120"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fr-FR" w:bidi="ar-SA"/>
              </w:rPr>
              <w:t>(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fr-FR" w:eastAsia="en-US" w:bidi="ar-SA"/>
              </w:rPr>
              <w:t>Cu Br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vertAlign w:val="subscript"/>
                <w:lang w:val="fr-FR" w:eastAsia="en-US" w:bidi="ar-SA"/>
              </w:rPr>
              <w:t>2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fr-FR" w:eastAsia="en-US" w:bidi="ar-SA"/>
              </w:rPr>
              <w:t>)</w:t>
            </w:r>
          </w:p>
        </w:tc>
        <w:tc>
          <w:tcPr>
            <w:tcW w:w="2548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before="120"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fr-FR" w:bidi="ar-SA"/>
              </w:rPr>
              <w:t>Chlorure de potassium</w:t>
            </w:r>
          </w:p>
          <w:p>
            <w:pPr>
              <w:pStyle w:val="Normal"/>
              <w:widowControl w:val="false"/>
              <w:suppressAutoHyphens w:val="true"/>
              <w:spacing w:before="120"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fr-FR" w:bidi="ar-SA"/>
              </w:rPr>
              <w:t>(K C</w:t>
            </w:r>
            <w:r>
              <w:rPr>
                <w:rFonts w:eastAsia="Calibri" w:cs="Calibri" w:ascii="Borealis" w:hAnsi="Borealis" w:cstheme="minorHAnsi"/>
                <w:kern w:val="0"/>
                <w:sz w:val="20"/>
                <w:szCs w:val="20"/>
                <w:lang w:val="fr-FR" w:bidi="ar-SA"/>
              </w:rPr>
              <w:t>l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fr-FR" w:bidi="ar-SA"/>
              </w:rPr>
              <w:t>)</w:t>
            </w:r>
          </w:p>
        </w:tc>
      </w:tr>
      <w:tr>
        <w:trPr/>
        <w:tc>
          <w:tcPr>
            <w:tcW w:w="2548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fr-FR" w:bidi="ar-SA"/>
              </w:rPr>
              <w:t>Solution 5</w:t>
            </w:r>
          </w:p>
        </w:tc>
        <w:tc>
          <w:tcPr>
            <w:tcW w:w="2549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fr-FR" w:bidi="ar-SA"/>
              </w:rPr>
              <w:t>Solution 6</w:t>
            </w:r>
          </w:p>
        </w:tc>
        <w:tc>
          <w:tcPr>
            <w:tcW w:w="2549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fr-FR" w:bidi="ar-SA"/>
              </w:rPr>
              <w:t>Solution 7</w:t>
            </w:r>
          </w:p>
        </w:tc>
        <w:tc>
          <w:tcPr>
            <w:tcW w:w="2548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fr-FR" w:bidi="ar-SA"/>
              </w:rPr>
              <w:t>Solution 8</w:t>
            </w:r>
          </w:p>
        </w:tc>
      </w:tr>
      <w:tr>
        <w:trPr/>
        <w:tc>
          <w:tcPr>
            <w:tcW w:w="2548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before="120" w:after="0"/>
              <w:jc w:val="center"/>
              <w:rPr>
                <w:rFonts w:eastAsia="Calibri" w:cs="Calibri"/>
                <w:kern w:val="0"/>
                <w:sz w:val="20"/>
                <w:szCs w:val="20"/>
                <w:lang w:val="fr-FR" w:eastAsia="en-US" w:bidi="ar-SA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fr-FR" w:eastAsia="en-US" w:bidi="ar-SA"/>
              </w:rPr>
              <w:t>Chlorure de calcium</w:t>
            </w:r>
          </w:p>
          <w:p>
            <w:pPr>
              <w:pStyle w:val="Normal"/>
              <w:widowControl w:val="false"/>
              <w:suppressAutoHyphens w:val="true"/>
              <w:spacing w:before="120" w:after="0"/>
              <w:jc w:val="center"/>
              <w:rPr>
                <w:rFonts w:eastAsia="Calibri" w:cs="Calibri"/>
                <w:kern w:val="0"/>
                <w:sz w:val="20"/>
                <w:szCs w:val="20"/>
                <w:lang w:val="fr-FR" w:eastAsia="en-US" w:bidi="ar-SA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fr-FR" w:eastAsia="en-US" w:bidi="ar-SA"/>
              </w:rPr>
              <w:t>(Na Cl)</w:t>
            </w:r>
          </w:p>
        </w:tc>
        <w:tc>
          <w:tcPr>
            <w:tcW w:w="2549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before="120" w:after="0"/>
              <w:jc w:val="center"/>
              <w:rPr>
                <w:rFonts w:eastAsia="Calibri" w:cs="Calibri"/>
                <w:kern w:val="0"/>
                <w:sz w:val="20"/>
                <w:szCs w:val="20"/>
                <w:lang w:val="fr-FR" w:eastAsia="en-US" w:bidi="ar-SA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fr-FR" w:eastAsia="en-US" w:bidi="ar-SA"/>
              </w:rPr>
              <w:t>Nitrate de calcium</w:t>
            </w:r>
          </w:p>
          <w:p>
            <w:pPr>
              <w:pStyle w:val="Normal"/>
              <w:widowControl w:val="false"/>
              <w:suppressAutoHyphens w:val="true"/>
              <w:spacing w:before="120"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fr-FR" w:eastAsia="en-US" w:bidi="ar-SA"/>
              </w:rPr>
              <w:t>(</w:t>
            </w:r>
            <w:r>
              <w:rPr>
                <w:rFonts w:eastAsia="Calibri" w:cs="Calibri" w:cstheme="minorHAnsi"/>
                <w:kern w:val="0"/>
                <w:position w:val="0"/>
                <w:sz w:val="20"/>
                <w:sz w:val="20"/>
                <w:szCs w:val="20"/>
                <w:vertAlign w:val="baseline"/>
                <w:lang w:val="fr-FR" w:eastAsia="en-US" w:bidi="ar-SA"/>
              </w:rPr>
              <w:t>Ca (NO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vertAlign w:val="subscript"/>
                <w:lang w:val="fr-FR" w:eastAsia="en-US" w:bidi="ar-SA"/>
              </w:rPr>
              <w:t>3</w:t>
            </w:r>
            <w:r>
              <w:rPr>
                <w:rFonts w:eastAsia="Calibri" w:cs="Calibri" w:cstheme="minorHAnsi"/>
                <w:kern w:val="0"/>
                <w:position w:val="0"/>
                <w:sz w:val="20"/>
                <w:sz w:val="20"/>
                <w:szCs w:val="20"/>
                <w:vertAlign w:val="baseline"/>
                <w:lang w:val="fr-FR" w:eastAsia="en-US" w:bidi="ar-SA"/>
              </w:rPr>
              <w:t>)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vertAlign w:val="subscript"/>
                <w:lang w:val="fr-FR" w:eastAsia="en-US" w:bidi="ar-SA"/>
              </w:rPr>
              <w:t>2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fr-FR" w:eastAsia="en-US" w:bidi="ar-SA"/>
              </w:rPr>
              <w:t>)</w:t>
            </w:r>
          </w:p>
        </w:tc>
        <w:tc>
          <w:tcPr>
            <w:tcW w:w="2549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before="120"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fr-FR" w:bidi="ar-SA"/>
              </w:rPr>
              <w:t>Nitrate de potassium</w:t>
            </w:r>
          </w:p>
          <w:p>
            <w:pPr>
              <w:pStyle w:val="Normal"/>
              <w:widowControl w:val="false"/>
              <w:suppressAutoHyphens w:val="true"/>
              <w:spacing w:before="120" w:after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fr-FR" w:bidi="ar-SA"/>
              </w:rPr>
              <w:t>(K NO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vertAlign w:val="subscript"/>
                <w:lang w:val="fr-FR" w:bidi="ar-SA"/>
              </w:rPr>
              <w:t>3</w:t>
            </w:r>
            <w:r>
              <w:rPr>
                <w:rFonts w:eastAsia="Calibri" w:cs="Calibri" w:cstheme="minorHAnsi"/>
                <w:kern w:val="0"/>
                <w:sz w:val="20"/>
                <w:szCs w:val="20"/>
                <w:lang w:val="fr-FR" w:bidi="ar-SA"/>
              </w:rPr>
              <w:t>)</w:t>
            </w:r>
          </w:p>
        </w:tc>
        <w:tc>
          <w:tcPr>
            <w:tcW w:w="2548" w:type="dxa"/>
            <w:tcBorders>
              <w:top w:val="nil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pacing w:before="120" w:after="0"/>
              <w:jc w:val="center"/>
              <w:rPr>
                <w:rFonts w:eastAsia="Calibri" w:cs="Calibri"/>
                <w:kern w:val="0"/>
                <w:sz w:val="20"/>
                <w:szCs w:val="20"/>
                <w:lang w:val="fr-FR" w:bidi="ar-SA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fr-FR" w:bidi="ar-SA"/>
              </w:rPr>
              <w:t>Bromure de potassium</w:t>
            </w:r>
          </w:p>
          <w:p>
            <w:pPr>
              <w:pStyle w:val="Normal"/>
              <w:widowControl w:val="false"/>
              <w:suppressAutoHyphens w:val="true"/>
              <w:spacing w:before="120" w:after="0"/>
              <w:jc w:val="center"/>
              <w:rPr>
                <w:rFonts w:eastAsia="Calibri" w:cs="Calibri"/>
                <w:kern w:val="0"/>
                <w:sz w:val="20"/>
                <w:szCs w:val="20"/>
                <w:lang w:val="fr-FR" w:bidi="ar-SA"/>
              </w:rPr>
            </w:pPr>
            <w:r>
              <w:rPr>
                <w:rFonts w:eastAsia="Calibri" w:cs="Calibri" w:cstheme="minorHAnsi"/>
                <w:kern w:val="0"/>
                <w:sz w:val="20"/>
                <w:szCs w:val="20"/>
                <w:lang w:val="fr-FR" w:bidi="ar-SA"/>
              </w:rPr>
              <w:t>(K Br)</w:t>
            </w:r>
          </w:p>
        </w:tc>
      </w:tr>
    </w:tbl>
    <w:p>
      <w:pPr>
        <w:pStyle w:val="Normal"/>
        <w:rPr>
          <w:rFonts w:cs="Calibri" w:cstheme="minorHAnsi"/>
          <w:sz w:val="20"/>
          <w:szCs w:val="20"/>
        </w:rPr>
      </w:pPr>
      <w:r>
        <w:rPr>
          <w:rFonts w:cs="Calibri" w:cstheme="minorHAnsi"/>
          <w:sz w:val="20"/>
          <w:szCs w:val="20"/>
        </w:rPr>
      </w:r>
    </w:p>
    <w:p>
      <w:pPr>
        <w:pStyle w:val="Normal"/>
        <w:rPr>
          <w:sz w:val="20"/>
          <w:szCs w:val="20"/>
        </w:rPr>
      </w:pPr>
      <w:r>
        <w:rPr>
          <w:rFonts w:cs="Calibri" w:cstheme="minorHAnsi"/>
          <w:sz w:val="20"/>
          <w:szCs w:val="20"/>
        </w:rPr>
        <w:t xml:space="preserve">Dans les </w:t>
      </w:r>
      <w:r>
        <w:rPr>
          <w:rFonts w:cs="Calibri" w:cstheme="minorHAnsi"/>
          <w:sz w:val="20"/>
          <w:szCs w:val="20"/>
          <w:lang w:eastAsia="en-US"/>
        </w:rPr>
        <w:t>deux</w:t>
      </w:r>
      <w:r>
        <w:rPr>
          <w:rFonts w:cs="Calibri" w:cstheme="minorHAnsi"/>
          <w:sz w:val="20"/>
          <w:szCs w:val="20"/>
        </w:rPr>
        <w:t xml:space="preserve"> premiers tubes à essais, versez séparément 1 cm</w:t>
      </w:r>
      <w:r>
        <w:rPr>
          <w:rFonts w:cs="Calibri" w:cstheme="minorHAnsi"/>
          <w:sz w:val="20"/>
          <w:szCs w:val="20"/>
          <w:vertAlign w:val="superscript"/>
        </w:rPr>
        <w:t>3</w:t>
      </w:r>
      <w:r>
        <w:rPr>
          <w:rFonts w:cs="Calibri" w:cstheme="minorHAnsi"/>
          <w:sz w:val="20"/>
          <w:szCs w:val="20"/>
        </w:rPr>
        <w:t xml:space="preserve"> des </w:t>
      </w:r>
      <w:r>
        <w:rPr>
          <w:rFonts w:eastAsia="Calibri" w:cs="Calibri" w:cstheme="minorHAnsi"/>
          <w:color w:val="auto"/>
          <w:kern w:val="0"/>
          <w:sz w:val="20"/>
          <w:szCs w:val="20"/>
          <w:lang w:val="fr-FR" w:eastAsia="en-US" w:bidi="ar-SA"/>
        </w:rPr>
        <w:t>2</w:t>
      </w:r>
      <w:r>
        <w:rPr>
          <w:rFonts w:cs="Calibri" w:cstheme="minorHAnsi"/>
          <w:sz w:val="20"/>
          <w:szCs w:val="20"/>
        </w:rPr>
        <w:t xml:space="preserve"> premières solutions contenant du cuivre.</w:t>
      </w:r>
    </w:p>
    <w:p>
      <w:pPr>
        <w:pStyle w:val="Normal"/>
        <w:spacing w:before="0" w:after="120"/>
        <w:rPr>
          <w:sz w:val="20"/>
          <w:szCs w:val="20"/>
        </w:rPr>
      </w:pPr>
      <w:r>
        <w:rPr>
          <w:rFonts w:cs="Calibri" w:cstheme="minorHAnsi"/>
          <w:sz w:val="20"/>
          <w:szCs w:val="20"/>
        </w:rPr>
        <w:t>Verse</w:t>
      </w:r>
      <w:r>
        <w:rPr>
          <w:rFonts w:eastAsia="Calibri" w:cs="Calibri" w:cstheme="minorHAnsi"/>
          <w:color w:val="auto"/>
          <w:kern w:val="0"/>
          <w:sz w:val="20"/>
          <w:szCs w:val="20"/>
          <w:lang w:val="fr-FR" w:eastAsia="en-US" w:bidi="ar-SA"/>
        </w:rPr>
        <w:t>z</w:t>
      </w:r>
      <w:r>
        <w:rPr>
          <w:rFonts w:cs="Calibri" w:cstheme="minorHAnsi"/>
          <w:sz w:val="20"/>
          <w:szCs w:val="20"/>
        </w:rPr>
        <w:t xml:space="preserve"> ensuite une goutte de nitrate d’argent et observer le contenu du tube. </w:t>
      </w:r>
    </w:p>
    <w:tbl>
      <w:tblPr>
        <w:tblW w:w="9726" w:type="dxa"/>
        <w:jc w:val="left"/>
        <w:tblInd w:w="212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2014"/>
        <w:gridCol w:w="965"/>
        <w:gridCol w:w="963"/>
        <w:gridCol w:w="964"/>
        <w:gridCol w:w="965"/>
        <w:gridCol w:w="964"/>
        <w:gridCol w:w="964"/>
        <w:gridCol w:w="965"/>
        <w:gridCol w:w="961"/>
      </w:tblGrid>
      <w:tr>
        <w:trPr/>
        <w:tc>
          <w:tcPr>
            <w:tcW w:w="2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left="0" w:right="340" w:hanging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  <w:t>Pour le tube contenant</w:t>
            </w:r>
          </w:p>
        </w:tc>
        <w:tc>
          <w:tcPr>
            <w:tcW w:w="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  <w:t>Solution 1</w:t>
            </w:r>
          </w:p>
        </w:tc>
        <w:tc>
          <w:tcPr>
            <w:tcW w:w="9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  <w:t>Solution 2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  <w:t>Solution 3</w:t>
            </w:r>
          </w:p>
        </w:tc>
        <w:tc>
          <w:tcPr>
            <w:tcW w:w="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  <w:t>Solution 4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  <w:t>Solution 5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  <w:t>Solution 6</w:t>
            </w:r>
          </w:p>
        </w:tc>
        <w:tc>
          <w:tcPr>
            <w:tcW w:w="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  <w:t>Solution 7</w:t>
            </w:r>
          </w:p>
        </w:tc>
        <w:tc>
          <w:tcPr>
            <w:tcW w:w="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Solution 8</w:t>
            </w:r>
          </w:p>
        </w:tc>
      </w:tr>
      <w:tr>
        <w:trPr/>
        <w:tc>
          <w:tcPr>
            <w:tcW w:w="2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left="0" w:right="340" w:hanging="0"/>
              <w:jc w:val="center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  <w:p>
            <w:pPr>
              <w:pStyle w:val="Normal"/>
              <w:widowControl w:val="false"/>
              <w:bidi w:val="0"/>
              <w:spacing w:before="0" w:after="0"/>
              <w:ind w:left="0" w:right="340" w:hanging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  <w:t>Observations</w:t>
            </w:r>
          </w:p>
          <w:p>
            <w:pPr>
              <w:pStyle w:val="Normal"/>
              <w:widowControl w:val="false"/>
              <w:bidi w:val="0"/>
              <w:spacing w:before="0" w:after="0"/>
              <w:ind w:left="0" w:right="340" w:hanging="0"/>
              <w:jc w:val="center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9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  <w:tc>
          <w:tcPr>
            <w:tcW w:w="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cs="Calibri" w:cstheme="minorHAnsi"/>
                <w:sz w:val="20"/>
                <w:szCs w:val="20"/>
              </w:rPr>
            </w:pPr>
            <w:r>
              <w:rPr>
                <w:rFonts w:cs="Calibri" w:cstheme="minorHAnsi"/>
                <w:sz w:val="20"/>
                <w:szCs w:val="20"/>
              </w:rPr>
            </w:r>
          </w:p>
        </w:tc>
      </w:tr>
    </w:tbl>
    <w:p>
      <w:pPr>
        <w:pStyle w:val="Normal"/>
        <w:rPr>
          <w:rFonts w:cs="Calibri" w:cstheme="minorHAnsi"/>
          <w:sz w:val="20"/>
          <w:szCs w:val="20"/>
        </w:rPr>
      </w:pPr>
      <w:r>
        <w:rPr>
          <w:rFonts w:cs="Calibri" w:cstheme="minorHAnsi"/>
          <w:sz w:val="20"/>
          <w:szCs w:val="20"/>
        </w:rPr>
      </w:r>
    </w:p>
    <w:p>
      <w:pPr>
        <w:pStyle w:val="Normal"/>
        <w:rPr>
          <w:sz w:val="20"/>
          <w:szCs w:val="20"/>
        </w:rPr>
      </w:pPr>
      <w:r>
        <w:rPr>
          <w:rFonts w:cs="Calibri" w:cstheme="minorHAnsi"/>
          <w:sz w:val="20"/>
          <w:szCs w:val="20"/>
        </w:rPr>
        <w:t>Comparez les observations entre les tubes à essai 1, 2. Que pouvez-vous dire ?</w:t>
      </w:r>
    </w:p>
    <w:p>
      <w:pPr>
        <w:pStyle w:val="Normal"/>
        <w:spacing w:before="120" w:after="0"/>
        <w:rPr>
          <w:sz w:val="20"/>
          <w:szCs w:val="20"/>
        </w:rPr>
      </w:pPr>
      <w:r>
        <w:rPr>
          <w:rFonts w:cs="Calibr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cs="Calibri" w:cstheme="minorHAnsi"/>
          <w:sz w:val="20"/>
          <w:szCs w:val="20"/>
        </w:rPr>
        <w:t>.</w:t>
      </w:r>
    </w:p>
    <w:p>
      <w:pPr>
        <w:pStyle w:val="Normal"/>
        <w:spacing w:before="120" w:after="0"/>
        <w:rPr>
          <w:sz w:val="20"/>
          <w:szCs w:val="20"/>
        </w:rPr>
      </w:pPr>
      <w:r>
        <w:rPr>
          <w:rFonts w:cs="Calibri" w:cstheme="minorHAnsi"/>
          <w:sz w:val="20"/>
          <w:szCs w:val="20"/>
        </w:rPr>
        <w:t>Comment interpréter ces résultats ?</w:t>
      </w:r>
    </w:p>
    <w:p>
      <w:pPr>
        <w:pStyle w:val="Normal"/>
        <w:spacing w:before="120" w:after="0"/>
        <w:rPr>
          <w:sz w:val="20"/>
          <w:szCs w:val="20"/>
        </w:rPr>
      </w:pPr>
      <w:r>
        <w:rPr>
          <w:rFonts w:cs="Calibr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cs="Calibri" w:cstheme="minorHAnsi"/>
          <w:sz w:val="20"/>
          <w:szCs w:val="20"/>
        </w:rPr>
        <w:t>.</w:t>
      </w:r>
    </w:p>
    <w:p>
      <w:pPr>
        <w:pStyle w:val="Normal"/>
        <w:spacing w:before="120" w:after="0"/>
        <w:rPr>
          <w:sz w:val="20"/>
          <w:szCs w:val="20"/>
        </w:rPr>
      </w:pPr>
      <w:r>
        <w:rPr>
          <w:rFonts w:cs="Calibr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cs="Calibri" w:cstheme="minorHAnsi"/>
          <w:sz w:val="20"/>
          <w:szCs w:val="20"/>
        </w:rPr>
        <w:t>.</w:t>
      </w:r>
    </w:p>
    <w:p>
      <w:pPr>
        <w:pStyle w:val="Normal"/>
        <w:spacing w:before="120" w:after="0"/>
        <w:rPr>
          <w:sz w:val="20"/>
          <w:szCs w:val="20"/>
        </w:rPr>
      </w:pPr>
      <w:r>
        <w:rPr>
          <w:rFonts w:cs="Calibr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cs="Calibri" w:cstheme="minorHAnsi"/>
          <w:sz w:val="20"/>
          <w:szCs w:val="20"/>
        </w:rPr>
        <w:t>.</w:t>
      </w:r>
    </w:p>
    <w:p>
      <w:pPr>
        <w:pStyle w:val="Normal"/>
        <w:rPr>
          <w:rFonts w:cs="Calibri" w:cstheme="minorHAnsi"/>
          <w:sz w:val="20"/>
          <w:szCs w:val="20"/>
        </w:rPr>
      </w:pPr>
      <w:r>
        <w:rPr>
          <w:rFonts w:cs="Calibri" w:cstheme="minorHAnsi"/>
          <w:sz w:val="20"/>
          <w:szCs w:val="20"/>
        </w:rPr>
      </w:r>
    </w:p>
    <w:p>
      <w:pPr>
        <w:pStyle w:val="Normal"/>
        <w:spacing w:before="0" w:after="120"/>
        <w:rPr>
          <w:sz w:val="20"/>
          <w:szCs w:val="20"/>
        </w:rPr>
      </w:pPr>
      <w:r>
        <w:rPr>
          <w:rFonts w:cs="Calibri" w:cstheme="minorHAnsi"/>
          <w:sz w:val="20"/>
          <w:szCs w:val="20"/>
        </w:rPr>
        <w:t>Quel résultat est attendu pour les solutions 4 et 5 ? Expliquez.</w:t>
      </w:r>
    </w:p>
    <w:p>
      <w:pPr>
        <w:pStyle w:val="Normal"/>
        <w:rPr>
          <w:sz w:val="20"/>
          <w:szCs w:val="20"/>
        </w:rPr>
      </w:pPr>
      <w:r>
        <w:rPr>
          <w:rFonts w:cs="Calibri" w:ascii="Wingdings" w:hAnsi="Wingdings" w:cstheme="minorHAnsi"/>
          <w:sz w:val="20"/>
          <w:szCs w:val="20"/>
        </w:rPr>
        <w:t></w:t>
      </w:r>
      <w:r>
        <w:rPr>
          <w:rFonts w:cs="Calibri" w:cstheme="minorHAnsi"/>
          <w:sz w:val="20"/>
          <w:szCs w:val="20"/>
        </w:rPr>
        <w:tab/>
        <w:t>il y aura une réaction</w:t>
        <w:tab/>
        <w:tab/>
        <w:tab/>
      </w:r>
      <w:r>
        <w:rPr>
          <w:rFonts w:cs="Calibri" w:ascii="Wingdings" w:hAnsi="Wingdings" w:cstheme="minorHAnsi"/>
          <w:sz w:val="20"/>
          <w:szCs w:val="20"/>
        </w:rPr>
        <w:t></w:t>
      </w:r>
      <w:r>
        <w:rPr>
          <w:rFonts w:cs="Calibri" w:cstheme="minorHAnsi"/>
          <w:sz w:val="20"/>
          <w:szCs w:val="20"/>
        </w:rPr>
        <w:t xml:space="preserve"> </w:t>
        <w:tab/>
        <w:t>il n’y aura pas de réaction</w:t>
      </w:r>
    </w:p>
    <w:p>
      <w:pPr>
        <w:pStyle w:val="Normal"/>
        <w:spacing w:before="120" w:after="0"/>
        <w:rPr>
          <w:rFonts w:cs="Calibri" w:cstheme="minorHAnsi"/>
          <w:sz w:val="20"/>
          <w:szCs w:val="20"/>
        </w:rPr>
      </w:pPr>
      <w:r>
        <w:rPr>
          <w:rFonts w:cs="Calibr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cs="Calibri" w:cstheme="minorHAnsi"/>
          <w:sz w:val="20"/>
          <w:szCs w:val="20"/>
        </w:rPr>
        <w:t>.</w:t>
      </w:r>
    </w:p>
    <w:p>
      <w:pPr>
        <w:pStyle w:val="Normal"/>
        <w:spacing w:before="120" w:after="0"/>
        <w:rPr>
          <w:rFonts w:cs="Calibri" w:cstheme="minorHAnsi"/>
          <w:sz w:val="20"/>
          <w:szCs w:val="20"/>
        </w:rPr>
      </w:pPr>
      <w:r>
        <w:rPr>
          <w:rFonts w:cs="Calibr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cs="Calibri" w:cstheme="minorHAnsi"/>
          <w:sz w:val="20"/>
          <w:szCs w:val="20"/>
        </w:rPr>
        <w:t>.</w:t>
      </w:r>
    </w:p>
    <w:p>
      <w:pPr>
        <w:pStyle w:val="Normal"/>
        <w:rPr>
          <w:sz w:val="20"/>
          <w:szCs w:val="20"/>
        </w:rPr>
      </w:pPr>
      <w:r>
        <w:rPr>
          <w:rFonts w:cs="Calibri" w:cstheme="minorHAnsi"/>
          <w:sz w:val="20"/>
          <w:szCs w:val="20"/>
          <w:lang w:eastAsia="en-US"/>
        </w:rPr>
        <w:t>Testez les solutions 3 et 6 (voir protocole plus haut). Sachant que la solution 7 (pas présente sur votre paillasse) ne réagit pas avec le nitrate d’argent, n</w:t>
      </w:r>
      <w:r>
        <w:rPr>
          <w:rFonts w:cs="Calibri" w:cstheme="minorHAnsi"/>
          <w:sz w:val="20"/>
          <w:szCs w:val="20"/>
        </w:rPr>
        <w:t>otez les résultats obtenus dans le tableau et concluez.</w:t>
      </w:r>
    </w:p>
    <w:p>
      <w:pPr>
        <w:pStyle w:val="Normal"/>
        <w:spacing w:before="120" w:after="0"/>
        <w:rPr>
          <w:sz w:val="20"/>
          <w:szCs w:val="20"/>
        </w:rPr>
      </w:pPr>
      <w:r>
        <w:rPr>
          <w:rFonts w:cs="Calibr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cs="Calibri" w:cstheme="minorHAnsi"/>
          <w:sz w:val="20"/>
          <w:szCs w:val="20"/>
        </w:rPr>
        <w:t>.</w:t>
      </w:r>
    </w:p>
    <w:p>
      <w:pPr>
        <w:pStyle w:val="Normal"/>
        <w:spacing w:before="120" w:after="0"/>
        <w:rPr>
          <w:sz w:val="20"/>
          <w:szCs w:val="20"/>
        </w:rPr>
      </w:pPr>
      <w:r>
        <w:rPr>
          <w:rFonts w:cs="Calibr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cs="Calibri" w:cstheme="minorHAnsi"/>
          <w:sz w:val="20"/>
          <w:szCs w:val="20"/>
        </w:rPr>
        <w:t>.</w:t>
      </w:r>
    </w:p>
    <w:p>
      <w:pPr>
        <w:pStyle w:val="Normal"/>
        <w:spacing w:before="120" w:after="0"/>
        <w:rPr>
          <w:sz w:val="20"/>
          <w:szCs w:val="20"/>
        </w:rPr>
      </w:pPr>
      <w:r>
        <w:rPr>
          <w:rFonts w:cs="Calibr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cs="Calibri" w:cstheme="minorHAnsi"/>
          <w:sz w:val="20"/>
          <w:szCs w:val="20"/>
        </w:rPr>
        <w:t>.</w:t>
      </w:r>
    </w:p>
    <w:p>
      <w:pPr>
        <w:pStyle w:val="Normal"/>
        <w:spacing w:before="120" w:after="0"/>
        <w:rPr>
          <w:sz w:val="20"/>
          <w:szCs w:val="20"/>
        </w:rPr>
      </w:pPr>
      <w:r>
        <w:rPr>
          <w:rFonts w:cs="Calibri" w:cstheme="minorHAnsi"/>
          <w:sz w:val="20"/>
          <w:szCs w:val="20"/>
        </w:rPr>
        <w:t>Quels sont les éléments qui réagissent avec le nitrate d’argent ?  Cochez les bonnes réponses et expliquez.</w:t>
      </w:r>
    </w:p>
    <w:p>
      <w:pPr>
        <w:pStyle w:val="Normal"/>
        <w:rPr>
          <w:sz w:val="20"/>
          <w:szCs w:val="20"/>
        </w:rPr>
      </w:pPr>
      <w:r>
        <w:rPr>
          <w:rFonts w:cs="Calibri" w:ascii="Wingdings" w:hAnsi="Wingdings" w:cstheme="minorHAnsi"/>
          <w:sz w:val="20"/>
          <w:szCs w:val="20"/>
        </w:rPr>
        <w:t xml:space="preserve"> </w:t>
      </w:r>
      <w:r>
        <w:rPr>
          <w:rFonts w:cs="Calibri" w:cstheme="minorHAnsi"/>
          <w:sz w:val="20"/>
          <w:szCs w:val="20"/>
        </w:rPr>
        <w:t>l’ion  chlorure (C</w:t>
      </w:r>
      <w:r>
        <w:rPr>
          <w:rFonts w:cs="Calibri" w:ascii="Borealis" w:hAnsi="Borealis" w:cstheme="minorHAnsi"/>
          <w:sz w:val="20"/>
          <w:szCs w:val="20"/>
        </w:rPr>
        <w:t>l</w:t>
      </w:r>
      <w:r>
        <w:rPr>
          <w:rFonts w:cs="Calibri" w:ascii="Borealis" w:hAnsi="Borealis" w:cstheme="minorHAnsi"/>
          <w:sz w:val="20"/>
          <w:szCs w:val="20"/>
          <w:vertAlign w:val="superscript"/>
        </w:rPr>
        <w:t>-</w:t>
      </w:r>
      <w:r>
        <w:rPr>
          <w:rFonts w:cs="Calibri" w:ascii="Borealis" w:hAnsi="Borealis" w:cstheme="minorHAnsi"/>
          <w:sz w:val="20"/>
          <w:szCs w:val="20"/>
        </w:rPr>
        <w:t>)</w:t>
      </w:r>
      <w:r>
        <w:rPr>
          <w:rFonts w:cs="Calibri" w:cstheme="minorHAnsi"/>
          <w:sz w:val="20"/>
          <w:szCs w:val="20"/>
        </w:rPr>
        <w:tab/>
        <w:t xml:space="preserve">        </w:t>
      </w:r>
      <w:r>
        <w:rPr>
          <w:rFonts w:cs="Calibri" w:ascii="Wingdings" w:hAnsi="Wingdings" w:cstheme="minorHAnsi"/>
          <w:sz w:val="20"/>
          <w:szCs w:val="20"/>
        </w:rPr>
        <w:t xml:space="preserve">r </w:t>
      </w:r>
      <w:r>
        <w:rPr>
          <w:rFonts w:cs="Calibri" w:cstheme="minorHAnsi"/>
          <w:sz w:val="20"/>
          <w:szCs w:val="20"/>
        </w:rPr>
        <w:t>l’ion calcium (Ca</w:t>
      </w:r>
      <w:r>
        <w:rPr>
          <w:rFonts w:cs="Calibri" w:cstheme="minorHAnsi"/>
          <w:sz w:val="20"/>
          <w:szCs w:val="20"/>
          <w:vertAlign w:val="superscript"/>
        </w:rPr>
        <w:t>2+</w:t>
      </w:r>
      <w:r>
        <w:rPr>
          <w:rFonts w:cs="Calibri" w:cstheme="minorHAnsi"/>
          <w:sz w:val="20"/>
          <w:szCs w:val="20"/>
        </w:rPr>
        <w:t>)</w:t>
        <w:tab/>
        <w:t xml:space="preserve">    </w:t>
      </w:r>
      <w:r>
        <w:rPr>
          <w:rFonts w:cs="Calibri" w:ascii="Wingdings" w:hAnsi="Wingdings" w:cstheme="minorHAnsi"/>
          <w:sz w:val="20"/>
          <w:szCs w:val="20"/>
        </w:rPr>
        <w:t xml:space="preserve"> </w:t>
      </w:r>
      <w:r>
        <w:rPr>
          <w:rFonts w:cs="Calibri" w:cstheme="minorHAnsi"/>
          <w:sz w:val="20"/>
          <w:szCs w:val="20"/>
        </w:rPr>
        <w:t xml:space="preserve">l’ion </w:t>
      </w:r>
      <w:r>
        <w:rPr>
          <w:rFonts w:cs="Calibri" w:cstheme="minorHAnsi"/>
          <w:sz w:val="20"/>
          <w:szCs w:val="20"/>
          <w:lang w:eastAsia="en-US"/>
        </w:rPr>
        <w:t>brom</w:t>
      </w:r>
      <w:r>
        <w:rPr>
          <w:rFonts w:cs="Calibri" w:cstheme="minorHAnsi"/>
          <w:sz w:val="20"/>
          <w:szCs w:val="20"/>
        </w:rPr>
        <w:t>ure (I</w:t>
      </w:r>
      <w:r>
        <w:rPr>
          <w:rFonts w:cs="Calibri" w:cstheme="minorHAnsi"/>
          <w:sz w:val="20"/>
          <w:szCs w:val="20"/>
          <w:vertAlign w:val="superscript"/>
        </w:rPr>
        <w:t>-</w:t>
      </w:r>
      <w:r>
        <w:rPr>
          <w:rFonts w:cs="Calibri" w:cstheme="minorHAnsi"/>
          <w:sz w:val="20"/>
          <w:szCs w:val="20"/>
        </w:rPr>
        <w:t xml:space="preserve">)           </w:t>
      </w:r>
      <w:r>
        <w:rPr>
          <w:rFonts w:cs="Calibri" w:ascii="Wingdings" w:hAnsi="Wingdings" w:cstheme="minorHAnsi"/>
          <w:sz w:val="20"/>
          <w:szCs w:val="20"/>
          <w:lang w:eastAsia="en-US"/>
        </w:rPr>
        <w:t xml:space="preserve"> </w:t>
      </w:r>
      <w:r>
        <w:rPr>
          <w:rFonts w:cs="Calibri" w:cstheme="minorHAnsi"/>
          <w:sz w:val="20"/>
          <w:szCs w:val="20"/>
          <w:lang w:eastAsia="en-US"/>
        </w:rPr>
        <w:t>l’ion sulfate (SO</w:t>
      </w:r>
      <w:r>
        <w:rPr>
          <w:rFonts w:cs="Calibri" w:cstheme="minorHAnsi"/>
          <w:sz w:val="20"/>
          <w:szCs w:val="20"/>
          <w:vertAlign w:val="subscript"/>
          <w:lang w:eastAsia="en-US"/>
        </w:rPr>
        <w:t>4</w:t>
      </w:r>
      <w:r>
        <w:rPr>
          <w:rFonts w:cs="Calibri" w:cstheme="minorHAnsi"/>
          <w:sz w:val="20"/>
          <w:szCs w:val="20"/>
          <w:vertAlign w:val="superscript"/>
          <w:lang w:eastAsia="en-US"/>
        </w:rPr>
        <w:t>2-</w:t>
      </w:r>
      <w:r>
        <w:rPr>
          <w:rFonts w:cs="Calibri" w:cstheme="minorHAnsi"/>
          <w:sz w:val="20"/>
          <w:szCs w:val="20"/>
          <w:lang w:eastAsia="en-US"/>
        </w:rPr>
        <w:t>)</w:t>
        <w:tab/>
      </w:r>
    </w:p>
    <w:p>
      <w:pPr>
        <w:pStyle w:val="Normal"/>
        <w:rPr>
          <w:sz w:val="20"/>
          <w:szCs w:val="20"/>
        </w:rPr>
      </w:pPr>
      <w:r>
        <w:rPr>
          <w:rFonts w:cs="Calibri" w:ascii="Wingdings" w:hAnsi="Wingdings" w:cstheme="minorHAnsi"/>
          <w:sz w:val="20"/>
          <w:szCs w:val="20"/>
        </w:rPr>
        <w:t xml:space="preserve"> </w:t>
      </w:r>
      <w:r>
        <w:rPr>
          <w:rFonts w:cs="Calibri" w:cstheme="minorHAnsi"/>
          <w:sz w:val="20"/>
          <w:szCs w:val="20"/>
        </w:rPr>
        <w:t>l’ion nitrate (NO</w:t>
      </w:r>
      <w:r>
        <w:rPr>
          <w:rFonts w:cs="Calibri" w:cstheme="minorHAnsi"/>
          <w:sz w:val="20"/>
          <w:szCs w:val="20"/>
          <w:vertAlign w:val="subscript"/>
        </w:rPr>
        <w:t>3</w:t>
      </w:r>
      <w:r>
        <w:rPr>
          <w:rFonts w:cs="Calibri" w:cstheme="minorHAnsi"/>
          <w:sz w:val="20"/>
          <w:szCs w:val="20"/>
          <w:vertAlign w:val="superscript"/>
        </w:rPr>
        <w:t>-</w:t>
      </w:r>
      <w:r>
        <w:rPr>
          <w:rFonts w:cs="Calibri" w:cstheme="minorHAnsi"/>
          <w:sz w:val="20"/>
          <w:szCs w:val="20"/>
        </w:rPr>
        <w:t>)</w:t>
        <w:tab/>
        <w:tab/>
      </w:r>
      <w:r>
        <w:rPr>
          <w:rFonts w:cs="Calibri" w:ascii="Wingdings" w:hAnsi="Wingdings" w:cstheme="minorHAnsi"/>
          <w:sz w:val="20"/>
          <w:szCs w:val="20"/>
        </w:rPr>
        <w:t xml:space="preserve"> </w:t>
      </w:r>
      <w:r>
        <w:rPr>
          <w:rFonts w:cs="Calibri" w:cstheme="minorHAnsi"/>
          <w:sz w:val="20"/>
          <w:szCs w:val="20"/>
          <w:lang w:eastAsia="en-US"/>
        </w:rPr>
        <w:t>l’ion cuivrique (Cu</w:t>
      </w:r>
      <w:r>
        <w:rPr>
          <w:rFonts w:cs="Calibri" w:cstheme="minorHAnsi"/>
          <w:sz w:val="20"/>
          <w:szCs w:val="20"/>
          <w:vertAlign w:val="superscript"/>
          <w:lang w:eastAsia="en-US"/>
        </w:rPr>
        <w:t>2+</w:t>
      </w:r>
      <w:r>
        <w:rPr>
          <w:rFonts w:cs="Calibri" w:cstheme="minorHAnsi"/>
          <w:sz w:val="20"/>
          <w:szCs w:val="20"/>
          <w:lang w:eastAsia="en-US"/>
        </w:rPr>
        <w:t>)</w:t>
        <w:tab/>
      </w:r>
      <w:r>
        <w:rPr>
          <w:rFonts w:cs="Calibri" w:ascii="Wingdings" w:hAnsi="Wingdings" w:cstheme="minorHAnsi"/>
          <w:sz w:val="20"/>
          <w:szCs w:val="20"/>
          <w:lang w:eastAsia="en-US"/>
        </w:rPr>
        <w:t xml:space="preserve">r </w:t>
      </w:r>
      <w:r>
        <w:rPr>
          <w:rFonts w:cs="Calibri" w:cstheme="minorHAnsi"/>
          <w:sz w:val="20"/>
          <w:szCs w:val="20"/>
          <w:lang w:eastAsia="en-US"/>
        </w:rPr>
        <w:t>l’ion potassium (K</w:t>
      </w:r>
      <w:r>
        <w:rPr>
          <w:rFonts w:cs="Calibri" w:cstheme="minorHAnsi"/>
          <w:sz w:val="20"/>
          <w:szCs w:val="20"/>
          <w:vertAlign w:val="superscript"/>
          <w:lang w:eastAsia="en-US"/>
        </w:rPr>
        <w:t>+</w:t>
      </w:r>
      <w:r>
        <w:rPr>
          <w:rFonts w:cs="Calibri" w:cstheme="minorHAnsi"/>
          <w:sz w:val="20"/>
          <w:szCs w:val="20"/>
          <w:lang w:eastAsia="en-US"/>
        </w:rPr>
        <w:t>)</w:t>
      </w:r>
    </w:p>
    <w:p>
      <w:pPr>
        <w:pStyle w:val="Normal"/>
        <w:spacing w:before="120" w:after="0"/>
        <w:rPr>
          <w:sz w:val="20"/>
          <w:szCs w:val="20"/>
        </w:rPr>
      </w:pPr>
      <w:r>
        <w:rPr>
          <w:rFonts w:cs="Calibr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cs="Calibri" w:cstheme="minorHAnsi"/>
          <w:sz w:val="20"/>
          <w:szCs w:val="20"/>
        </w:rPr>
        <w:t>.</w:t>
      </w:r>
    </w:p>
    <w:p>
      <w:pPr>
        <w:pStyle w:val="Normal"/>
        <w:spacing w:before="120" w:after="0"/>
        <w:rPr>
          <w:sz w:val="20"/>
          <w:szCs w:val="20"/>
        </w:rPr>
      </w:pPr>
      <w:r>
        <w:rPr>
          <w:rFonts w:cs="Calibr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cs="Calibri" w:cstheme="minorHAnsi"/>
          <w:sz w:val="20"/>
          <w:szCs w:val="20"/>
        </w:rPr>
        <w:t>.</w:t>
      </w:r>
    </w:p>
    <w:p>
      <w:pPr>
        <w:pStyle w:val="Normal"/>
        <w:rPr>
          <w:sz w:val="20"/>
          <w:szCs w:val="20"/>
        </w:rPr>
      </w:pPr>
      <w:r>
        <w:rPr>
          <w:rFonts w:cs="Calibri" w:cstheme="minorHAnsi"/>
          <w:sz w:val="20"/>
          <w:szCs w:val="20"/>
        </w:rPr>
        <w:t xml:space="preserve">Déduisez-en si la solution 8 réagit en présence de nitrate d’argent. </w:t>
      </w:r>
      <w:r>
        <w:rPr>
          <w:rFonts w:eastAsia="Calibri" w:cs="Calibri" w:cstheme="minorHAnsi"/>
          <w:color w:val="auto"/>
          <w:kern w:val="0"/>
          <w:sz w:val="20"/>
          <w:szCs w:val="20"/>
          <w:lang w:val="fr-FR" w:eastAsia="en-US" w:bidi="ar-SA"/>
        </w:rPr>
        <w:t>Justifiez.</w:t>
      </w:r>
    </w:p>
    <w:p>
      <w:pPr>
        <w:pStyle w:val="Normal"/>
        <w:spacing w:before="120" w:after="0"/>
        <w:rPr>
          <w:sz w:val="20"/>
          <w:szCs w:val="20"/>
        </w:rPr>
      </w:pPr>
      <w:r>
        <w:rPr>
          <w:rFonts w:eastAsia="Calibri" w:cs="Calibri" w:cstheme="minorHAnsi"/>
          <w:color w:val="auto"/>
          <w:kern w:val="0"/>
          <w:sz w:val="20"/>
          <w:szCs w:val="20"/>
          <w:lang w:val="fr-FR" w:eastAsia="en-US" w:bidi="ar-SA"/>
        </w:rPr>
        <w:t>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eastAsia="Calibri" w:cs="Calibri" w:cstheme="minorHAnsi"/>
          <w:color w:val="auto"/>
          <w:kern w:val="0"/>
          <w:sz w:val="20"/>
          <w:szCs w:val="20"/>
          <w:lang w:val="fr-FR" w:eastAsia="en-US" w:bidi="ar-SA"/>
        </w:rPr>
        <w:t>.</w:t>
      </w:r>
    </w:p>
    <w:p>
      <w:pPr>
        <w:pStyle w:val="Normal"/>
        <w:spacing w:before="120" w:after="0"/>
        <w:rPr>
          <w:rFonts w:ascii="Calibri" w:hAnsi="Calibri" w:eastAsia="Calibri" w:cs="Calibri" w:cstheme="minorHAnsi"/>
          <w:color w:val="auto"/>
          <w:kern w:val="0"/>
          <w:lang w:val="fr-FR" w:eastAsia="en-US" w:bidi="ar-SA"/>
        </w:rPr>
      </w:pPr>
      <w:r>
        <w:rPr>
          <w:rFonts w:eastAsia="Calibri" w:cs="Calibri" w:cstheme="minorHAnsi"/>
          <w:color w:val="auto"/>
          <w:kern w:val="0"/>
          <w:lang w:val="fr-FR" w:eastAsia="en-US" w:bidi="ar-SA"/>
        </w:rPr>
      </w:r>
    </w:p>
    <w:p>
      <w:pPr>
        <w:pStyle w:val="Normal"/>
        <w:rPr>
          <w:sz w:val="20"/>
          <w:szCs w:val="20"/>
        </w:rPr>
      </w:pPr>
      <w:r>
        <w:rPr>
          <w:rFonts w:cs="Calibri" w:cstheme="minorHAnsi"/>
          <w:sz w:val="20"/>
          <w:szCs w:val="20"/>
        </w:rPr>
        <w:t>Dans la liste de la page 1, entourez en bleu les éléments qui réagissent avec le nitrate d’argent. Faites vérifier.</w:t>
      </w:r>
    </w:p>
    <w:p>
      <w:pPr>
        <w:pStyle w:val="Normal"/>
        <w:spacing w:before="120" w:after="0"/>
        <w:rPr>
          <w:sz w:val="20"/>
          <w:szCs w:val="20"/>
        </w:rPr>
      </w:pPr>
      <w:r>
        <w:rPr>
          <w:rFonts w:cs="Calibr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cs="Calibri" w:cstheme="minorHAnsi"/>
          <w:sz w:val="20"/>
          <w:szCs w:val="20"/>
        </w:rPr>
        <w:t>.</w:t>
      </w:r>
    </w:p>
    <w:sectPr>
      <w:footerReference w:type="default" r:id="rId2"/>
      <w:type w:val="nextPage"/>
      <w:pgSz w:w="11906" w:h="16838"/>
      <w:pgMar w:left="851" w:right="851" w:header="0" w:top="567" w:footer="510" w:bottom="79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Cambria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Borealis">
    <w:charset w:val="00"/>
    <w:family w:val="roman"/>
    <w:pitch w:val="variable"/>
  </w:font>
  <w:font w:name="Wingdings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pPr w:vertAnchor="text" w:horzAnchor="text" w:leftFromText="187" w:rightFromText="187" w:tblpX="0" w:tblpY="1"/>
      <w:tblW w:w="5000" w:type="pct"/>
      <w:jc w:val="left"/>
      <w:tblInd w:w="0" w:type="dxa"/>
      <w:tblLayout w:type="fixed"/>
      <w:tblCellMar>
        <w:top w:w="0" w:type="dxa"/>
        <w:left w:w="108" w:type="dxa"/>
        <w:bottom w:w="0" w:type="dxa"/>
        <w:right w:w="108" w:type="dxa"/>
      </w:tblCellMar>
      <w:tblLook w:firstRow="1" w:noVBand="0" w:lastRow="0" w:firstColumn="1" w:lastColumn="0" w:noHBand="0" w:val="00a0"/>
    </w:tblPr>
    <w:tblGrid>
      <w:gridCol w:w="2882"/>
      <w:gridCol w:w="2776"/>
      <w:gridCol w:w="3192"/>
      <w:gridCol w:w="1353"/>
    </w:tblGrid>
    <w:tr>
      <w:trPr>
        <w:trHeight w:val="264" w:hRule="atLeast"/>
      </w:trPr>
      <w:tc>
        <w:tcPr>
          <w:tcW w:w="2882" w:type="dxa"/>
          <w:tcBorders>
            <w:top w:val="single" w:sz="12" w:space="0" w:color="943634"/>
          </w:tcBorders>
        </w:tcPr>
        <w:p>
          <w:pPr>
            <w:pStyle w:val="Entte"/>
            <w:widowControl w:val="false"/>
            <w:tabs>
              <w:tab w:val="clear" w:pos="4536"/>
              <w:tab w:val="clear" w:pos="9072"/>
            </w:tabs>
            <w:jc w:val="center"/>
            <w:rPr>
              <w:b/>
              <w:b/>
              <w:bCs/>
              <w:color w:val="943634"/>
              <w:sz w:val="18"/>
              <w:szCs w:val="18"/>
            </w:rPr>
          </w:pPr>
          <w:r>
            <w:rPr>
              <w:b/>
              <w:bCs/>
              <w:color w:val="943634"/>
              <w:sz w:val="18"/>
              <w:szCs w:val="18"/>
            </w:rPr>
            <w:t>2</w:t>
          </w:r>
          <w:r>
            <w:rPr>
              <w:b/>
              <w:bCs/>
              <w:color w:val="943634"/>
              <w:sz w:val="18"/>
              <w:szCs w:val="18"/>
              <w:vertAlign w:val="superscript"/>
            </w:rPr>
            <w:t>nde</w:t>
          </w:r>
          <w:r>
            <w:rPr>
              <w:b/>
              <w:bCs/>
              <w:color w:val="943634"/>
              <w:sz w:val="18"/>
              <w:szCs w:val="18"/>
            </w:rPr>
            <w:t xml:space="preserve"> Professionnelle</w:t>
          </w:r>
        </w:p>
      </w:tc>
      <w:tc>
        <w:tcPr>
          <w:tcW w:w="2776" w:type="dxa"/>
          <w:tcBorders>
            <w:top w:val="single" w:sz="12" w:space="0" w:color="943634"/>
          </w:tcBorders>
        </w:tcPr>
        <w:p>
          <w:pPr>
            <w:pStyle w:val="Entte"/>
            <w:widowControl w:val="false"/>
            <w:tabs>
              <w:tab w:val="clear" w:pos="4536"/>
              <w:tab w:val="clear" w:pos="9072"/>
            </w:tabs>
            <w:jc w:val="center"/>
            <w:rPr>
              <w:rFonts w:ascii="Calibri" w:hAnsi="Calibri" w:eastAsia="Calibri" w:cs="Times New Roman"/>
              <w:b/>
              <w:b/>
              <w:bCs/>
              <w:color w:val="943634"/>
              <w:kern w:val="0"/>
              <w:sz w:val="18"/>
              <w:szCs w:val="18"/>
              <w:lang w:val="fr-FR" w:eastAsia="en-US" w:bidi="ar-SA"/>
            </w:rPr>
          </w:pPr>
          <w:r>
            <w:rPr>
              <w:rFonts w:eastAsia="Calibri" w:cs="Times New Roman"/>
              <w:b/>
              <w:bCs/>
              <w:color w:val="943634"/>
              <w:kern w:val="0"/>
              <w:sz w:val="18"/>
              <w:szCs w:val="18"/>
              <w:lang w:val="fr-FR" w:eastAsia="en-US" w:bidi="ar-SA"/>
            </w:rPr>
            <w:t>Reconnaissance des halogènes</w:t>
          </w:r>
        </w:p>
      </w:tc>
      <w:tc>
        <w:tcPr>
          <w:tcW w:w="3192" w:type="dxa"/>
          <w:tcBorders>
            <w:top w:val="single" w:sz="12" w:space="0" w:color="943634"/>
          </w:tcBorders>
        </w:tcPr>
        <w:p>
          <w:pPr>
            <w:pStyle w:val="Entte"/>
            <w:widowControl w:val="false"/>
            <w:tabs>
              <w:tab w:val="clear" w:pos="4536"/>
              <w:tab w:val="clear" w:pos="9072"/>
            </w:tabs>
            <w:jc w:val="center"/>
            <w:rPr>
              <w:b/>
              <w:b/>
              <w:bCs/>
              <w:color w:val="943634"/>
              <w:sz w:val="18"/>
              <w:szCs w:val="18"/>
            </w:rPr>
          </w:pPr>
          <w:r>
            <w:rPr>
              <w:b/>
              <w:bCs/>
              <w:color w:val="943634"/>
              <w:sz w:val="18"/>
              <w:szCs w:val="18"/>
            </w:rPr>
            <w:t xml:space="preserve">TP </w:t>
          </w:r>
        </w:p>
      </w:tc>
      <w:tc>
        <w:tcPr>
          <w:tcW w:w="1353" w:type="dxa"/>
          <w:tcBorders>
            <w:top w:val="single" w:sz="12" w:space="0" w:color="943634"/>
          </w:tcBorders>
        </w:tcPr>
        <w:p>
          <w:pPr>
            <w:pStyle w:val="Entte"/>
            <w:widowControl w:val="false"/>
            <w:tabs>
              <w:tab w:val="clear" w:pos="4536"/>
              <w:tab w:val="clear" w:pos="9072"/>
            </w:tabs>
            <w:jc w:val="right"/>
            <w:rPr>
              <w:b/>
              <w:b/>
              <w:bCs/>
              <w:color w:val="943634"/>
              <w:sz w:val="18"/>
              <w:szCs w:val="18"/>
            </w:rPr>
          </w:pPr>
          <w:r>
            <w:rPr>
              <w:b/>
              <w:color w:val="943634"/>
              <w:sz w:val="18"/>
              <w:szCs w:val="18"/>
            </w:rPr>
            <w:t xml:space="preserve">Page </w:t>
          </w:r>
          <w:r>
            <w:rPr>
              <w:b/>
              <w:color w:val="943634"/>
              <w:sz w:val="18"/>
              <w:szCs w:val="18"/>
            </w:rPr>
            <w:fldChar w:fldCharType="begin"/>
          </w:r>
          <w:r>
            <w:rPr>
              <w:sz w:val="18"/>
              <w:b/>
              <w:szCs w:val="18"/>
              <w:color w:val="943634"/>
            </w:rPr>
            <w:instrText> PAGE </w:instrText>
          </w:r>
          <w:r>
            <w:rPr>
              <w:sz w:val="18"/>
              <w:b/>
              <w:szCs w:val="18"/>
              <w:color w:val="943634"/>
            </w:rPr>
            <w:fldChar w:fldCharType="separate"/>
          </w:r>
          <w:r>
            <w:rPr>
              <w:sz w:val="18"/>
              <w:b/>
              <w:szCs w:val="18"/>
              <w:color w:val="943634"/>
            </w:rPr>
            <w:t>1</w:t>
          </w:r>
          <w:r>
            <w:rPr>
              <w:sz w:val="18"/>
              <w:b/>
              <w:szCs w:val="18"/>
              <w:color w:val="943634"/>
            </w:rPr>
            <w:fldChar w:fldCharType="end"/>
          </w:r>
        </w:p>
      </w:tc>
    </w:tr>
  </w:tbl>
  <w:p>
    <w:pPr>
      <w:pStyle w:val="Pieddepage"/>
      <w:rPr>
        <w:sz w:val="2"/>
        <w:szCs w:val="2"/>
      </w:rPr>
    </w:pPr>
    <w:r>
      <w:rPr>
        <w:sz w:val="2"/>
        <w:szCs w:val="2"/>
      </w:rPr>
    </w:r>
  </w:p>
</w:ftr>
</file>

<file path=word/settings.xml><?xml version="1.0" encoding="utf-8"?>
<w:settings xmlns:w="http://schemas.openxmlformats.org/wordprocessingml/2006/main">
  <w:zoom w:percent="15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sz w:val="22"/>
        <w:szCs w:val="22"/>
        <w:lang w:val="fr-FR" w:eastAsia="fr-F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semiHidden="1" w:unhideWhenUsed="1" w:qFormat="1"/>
    <w:lsdException w:name="heading 3" w:locked="1" w:uiPriority="0" w:qFormat="1"/>
    <w:lsdException w:name="heading 4" w:locked="1" w:uiPriority="0" w:semiHidden="1" w:unhideWhenUsed="1" w:qFormat="1"/>
    <w:lsdException w:name="heading 5" w:locked="1" w:uiPriority="0" w:semiHidden="1" w:unhideWhenUsed="1" w:qFormat="1"/>
    <w:lsdException w:name="heading 6" w:locked="1" w:uiPriority="0" w:semiHidden="1" w:unhideWhenUsed="1" w:qFormat="1"/>
    <w:lsdException w:name="heading 7" w:locked="1" w:uiPriority="0" w:semiHidden="1" w:unhideWhenUsed="1" w:qFormat="1"/>
    <w:lsdException w:name="heading 8" w:locked="1" w:uiPriority="0" w:semiHidden="1" w:unhideWhenUsed="1" w:qFormat="1"/>
    <w:lsdException w:name="heading 9" w:locked="1" w:uiPriority="0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957d03"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Times New Roman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link w:val="Titre1Car"/>
    <w:uiPriority w:val="99"/>
    <w:qFormat/>
    <w:rsid w:val="006c4774"/>
    <w:pPr>
      <w:spacing w:beforeAutospacing="1" w:afterAutospacing="1"/>
      <w:outlineLvl w:val="0"/>
    </w:pPr>
    <w:rPr>
      <w:rFonts w:ascii="Times New Roman" w:hAnsi="Times New Roman" w:eastAsia="Times New Roman"/>
      <w:b/>
      <w:bCs/>
      <w:kern w:val="2"/>
      <w:sz w:val="48"/>
      <w:szCs w:val="48"/>
      <w:lang w:eastAsia="fr-FR"/>
    </w:rPr>
  </w:style>
  <w:style w:type="paragraph" w:styleId="Titre3">
    <w:name w:val="Heading 3"/>
    <w:basedOn w:val="Normal"/>
    <w:next w:val="Normal"/>
    <w:link w:val="Titre3Car"/>
    <w:uiPriority w:val="99"/>
    <w:qFormat/>
    <w:rsid w:val="0015319a"/>
    <w:pPr>
      <w:keepNext w:val="true"/>
      <w:keepLines/>
      <w:spacing w:before="200" w:after="0"/>
      <w:outlineLvl w:val="2"/>
    </w:pPr>
    <w:rPr>
      <w:rFonts w:ascii="Cambria" w:hAnsi="Cambria" w:eastAsia="Times New Roman"/>
      <w:b/>
      <w:bCs/>
      <w:color w:val="4F81BD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re1Car" w:customStyle="1">
    <w:name w:val="Titre 1 Car"/>
    <w:basedOn w:val="DefaultParagraphFont"/>
    <w:link w:val="Titre1"/>
    <w:uiPriority w:val="99"/>
    <w:qFormat/>
    <w:locked/>
    <w:rsid w:val="006c4774"/>
    <w:rPr>
      <w:rFonts w:ascii="Times New Roman" w:hAnsi="Times New Roman" w:cs="Times New Roman"/>
      <w:b/>
      <w:bCs/>
      <w:kern w:val="2"/>
      <w:sz w:val="48"/>
      <w:szCs w:val="48"/>
      <w:lang w:eastAsia="fr-FR"/>
    </w:rPr>
  </w:style>
  <w:style w:type="character" w:styleId="Titre3Car" w:customStyle="1">
    <w:name w:val="Titre 3 Car"/>
    <w:basedOn w:val="DefaultParagraphFont"/>
    <w:link w:val="Titre3"/>
    <w:uiPriority w:val="99"/>
    <w:semiHidden/>
    <w:qFormat/>
    <w:locked/>
    <w:rsid w:val="0015319a"/>
    <w:rPr>
      <w:rFonts w:ascii="Cambria" w:hAnsi="Cambria" w:cs="Times New Roman"/>
      <w:b/>
      <w:bCs/>
      <w:color w:val="4F81BD"/>
    </w:rPr>
  </w:style>
  <w:style w:type="character" w:styleId="TextedebullesCar" w:customStyle="1">
    <w:name w:val="Texte de bulles Car"/>
    <w:basedOn w:val="DefaultParagraphFont"/>
    <w:link w:val="Textedebulles"/>
    <w:uiPriority w:val="99"/>
    <w:semiHidden/>
    <w:qFormat/>
    <w:locked/>
    <w:rsid w:val="006c4774"/>
    <w:rPr>
      <w:rFonts w:ascii="Tahoma" w:hAnsi="Tahoma" w:cs="Tahoma"/>
      <w:sz w:val="16"/>
      <w:szCs w:val="16"/>
    </w:rPr>
  </w:style>
  <w:style w:type="character" w:styleId="EntteCar" w:customStyle="1">
    <w:name w:val="En-tête Car"/>
    <w:basedOn w:val="DefaultParagraphFont"/>
    <w:link w:val="En-tte"/>
    <w:uiPriority w:val="99"/>
    <w:qFormat/>
    <w:locked/>
    <w:rsid w:val="00bd2ccb"/>
    <w:rPr>
      <w:rFonts w:cs="Times New Roman"/>
    </w:rPr>
  </w:style>
  <w:style w:type="character" w:styleId="PieddepageCar" w:customStyle="1">
    <w:name w:val="Pied de page Car"/>
    <w:basedOn w:val="DefaultParagraphFont"/>
    <w:link w:val="Pieddepage"/>
    <w:uiPriority w:val="99"/>
    <w:semiHidden/>
    <w:qFormat/>
    <w:locked/>
    <w:rsid w:val="00bd2ccb"/>
    <w:rPr>
      <w:rFonts w:cs="Times New Roman"/>
    </w:rPr>
  </w:style>
  <w:style w:type="character" w:styleId="SansinterligneCar" w:customStyle="1">
    <w:name w:val="Sans interligne Car"/>
    <w:basedOn w:val="DefaultParagraphFont"/>
    <w:link w:val="Sansinterligne"/>
    <w:uiPriority w:val="99"/>
    <w:qFormat/>
    <w:locked/>
    <w:rsid w:val="00bd2ccb"/>
    <w:rPr>
      <w:rFonts w:eastAsia="Times New Roman" w:cs="Times New Roman"/>
      <w:sz w:val="22"/>
      <w:szCs w:val="22"/>
      <w:lang w:val="fr-FR" w:eastAsia="en-US" w:bidi="ar-SA"/>
    </w:rPr>
  </w:style>
  <w:style w:type="character" w:styleId="LienInternet">
    <w:name w:val="Lien Internet"/>
    <w:basedOn w:val="DefaultParagraphFont"/>
    <w:uiPriority w:val="99"/>
    <w:semiHidden/>
    <w:rsid w:val="0015319a"/>
    <w:rPr>
      <w:rFonts w:cs="Times New Roman"/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qFormat/>
    <w:rsid w:val="006d0b7a"/>
    <w:rPr>
      <w:rFonts w:cs="Times New Roman"/>
      <w:color w:val="808080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Mangal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Mangal"/>
    </w:rPr>
  </w:style>
  <w:style w:type="paragraph" w:styleId="BalloonText">
    <w:name w:val="Balloon Text"/>
    <w:basedOn w:val="Normal"/>
    <w:link w:val="TextedebullesCar"/>
    <w:uiPriority w:val="99"/>
    <w:semiHidden/>
    <w:qFormat/>
    <w:rsid w:val="006c4774"/>
    <w:pPr/>
    <w:rPr>
      <w:rFonts w:ascii="Tahoma" w:hAnsi="Tahoma" w:cs="Tahoma"/>
      <w:sz w:val="16"/>
      <w:szCs w:val="16"/>
    </w:rPr>
  </w:style>
  <w:style w:type="paragraph" w:styleId="Entteetpieddepage">
    <w:name w:val="En-tête et pied de page"/>
    <w:basedOn w:val="Normal"/>
    <w:qFormat/>
    <w:pPr/>
    <w:rPr/>
  </w:style>
  <w:style w:type="paragraph" w:styleId="Entte">
    <w:name w:val="Header"/>
    <w:basedOn w:val="Normal"/>
    <w:link w:val="En-tteCar"/>
    <w:uiPriority w:val="99"/>
    <w:rsid w:val="00bd2ccb"/>
    <w:pPr>
      <w:tabs>
        <w:tab w:val="clear" w:pos="708"/>
        <w:tab w:val="center" w:pos="4536" w:leader="none"/>
        <w:tab w:val="right" w:pos="9072" w:leader="none"/>
      </w:tabs>
    </w:pPr>
    <w:rPr/>
  </w:style>
  <w:style w:type="paragraph" w:styleId="Pieddepage">
    <w:name w:val="Footer"/>
    <w:basedOn w:val="Normal"/>
    <w:link w:val="PieddepageCar"/>
    <w:uiPriority w:val="99"/>
    <w:semiHidden/>
    <w:rsid w:val="00bd2ccb"/>
    <w:pPr>
      <w:tabs>
        <w:tab w:val="clear" w:pos="708"/>
        <w:tab w:val="center" w:pos="4536" w:leader="none"/>
        <w:tab w:val="right" w:pos="9072" w:leader="none"/>
      </w:tabs>
    </w:pPr>
    <w:rPr/>
  </w:style>
  <w:style w:type="paragraph" w:styleId="NoSpacing">
    <w:name w:val="No Spacing"/>
    <w:link w:val="SansinterligneCar"/>
    <w:uiPriority w:val="99"/>
    <w:qFormat/>
    <w:rsid w:val="00bd2ccb"/>
    <w:pPr>
      <w:widowControl/>
      <w:suppressAutoHyphens w:val="true"/>
      <w:bidi w:val="0"/>
      <w:spacing w:before="0" w:after="0"/>
      <w:jc w:val="left"/>
    </w:pPr>
    <w:rPr>
      <w:rFonts w:ascii="Calibri" w:hAnsi="Calibri" w:eastAsia="Times New Roman" w:cs="Times New Roman"/>
      <w:color w:val="auto"/>
      <w:kern w:val="0"/>
      <w:sz w:val="22"/>
      <w:szCs w:val="22"/>
      <w:lang w:val="fr-FR" w:eastAsia="en-US" w:bidi="ar-SA"/>
    </w:rPr>
  </w:style>
  <w:style w:type="paragraph" w:styleId="ListParagraph">
    <w:name w:val="List Paragraph"/>
    <w:basedOn w:val="Normal"/>
    <w:uiPriority w:val="34"/>
    <w:qFormat/>
    <w:rsid w:val="0017224e"/>
    <w:pPr>
      <w:spacing w:before="0" w:after="0"/>
      <w:ind w:left="720" w:hanging="0"/>
      <w:contextualSpacing/>
    </w:pPr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au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Grilledutableau">
    <w:name w:val="Table Grid"/>
    <w:basedOn w:val="TableauNormal"/>
    <w:rsid w:val="00bd2ccb"/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Application>LibreOffice/7.1.5.2$Windows_X86_64 LibreOffice_project/85f04e9f809797b8199d13c421bd8a2b025d52b5</Application>
  <AppVersion>15.0000</AppVersion>
  <Pages>1</Pages>
  <Words>355</Words>
  <Characters>2773</Characters>
  <CharactersWithSpaces>3100</CharactersWithSpaces>
  <Paragraphs>72</Paragraphs>
  <Company> 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2024-09-09T07:09:00Z</dcterms:created>
  <dc:creator>soco</dc:creator>
  <dc:description/>
  <dc:language>fr-FR</dc:language>
  <cp:lastModifiedBy/>
  <cp:lastPrinted>2023-02-15T10:12:00Z</cp:lastPrinted>
  <dcterms:modified xsi:type="dcterms:W3CDTF">2024-09-10T15:56:54Z</dcterms:modified>
  <cp:revision>5</cp:revision>
  <dc:subject/>
  <dc:title>1ère Professionnelle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