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Theme="majorHAnsi" w:hAnsiTheme="majorHAnsi" w:eastAsiaTheme="majorEastAsia" w:cstheme="majorBidi"/>
          <w:lang w:eastAsia="en-US"/>
        </w:rPr>
        <w:id w:val="68777776"/>
        <w:docPartObj>
          <w:docPartGallery w:val="AutoText"/>
        </w:docPartObj>
      </w:sdtPr>
      <w:sdtEndP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sdtEndPr>
      <w:sdtContent>
        <w:tbl>
          <w:tblPr>
            <w:tblStyle w:val="3"/>
            <w:tblpPr w:leftFromText="187" w:rightFromText="187" w:horzAnchor="margin" w:tblpXSpec="center" w:tblpY="2881"/>
            <w:tblW w:w="4000" w:type="pct"/>
            <w:tblInd w:w="0" w:type="dxa"/>
            <w:tblBorders>
              <w:top w:val="none" w:color="auto" w:sz="0" w:space="0"/>
              <w:left w:val="single" w:color="4F81BD" w:themeColor="accent1" w:sz="18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7668"/>
          </w:tblGrid>
          <w:tr>
            <w:tblPrEx>
              <w:tblBorders>
                <w:top w:val="none" w:color="auto" w:sz="0" w:space="0"/>
                <w:left w:val="single" w:color="4F81BD" w:themeColor="accent1" w:sz="18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sdt>
              <w:sdtPr>
                <w:rPr>
                  <w:rFonts w:asciiTheme="majorHAnsi" w:hAnsiTheme="majorHAnsi" w:eastAsiaTheme="majorEastAsia" w:cstheme="majorBidi"/>
                  <w:lang w:eastAsia="en-US"/>
                </w:rPr>
                <w:alias w:val="Организация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Theme="majorHAnsi" w:hAnsiTheme="majorHAnsi" w:eastAsiaTheme="majorEastAsia" w:cstheme="majorBidi"/>
                  <w:lang w:eastAsia="ru-RU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>
                    <w:pPr>
                      <w:pStyle w:val="11"/>
                      <w:rPr>
                        <w:rFonts w:asciiTheme="majorHAnsi" w:hAnsiTheme="majorHAnsi" w:eastAsiaTheme="majorEastAsia" w:cstheme="majorBidi"/>
                        <w:lang w:val="en-US"/>
                      </w:rPr>
                    </w:pPr>
                    <w:bookmarkStart w:id="0" w:name="_GoBack"/>
                    <w:bookmarkEnd w:id="0"/>
                    <w:r>
                      <w:rPr>
                        <w:rFonts w:asciiTheme="majorHAnsi" w:hAnsiTheme="majorHAnsi" w:eastAsiaTheme="majorEastAsia" w:cstheme="majorBidi"/>
                        <w:lang w:val="ro-RO"/>
                      </w:rPr>
                      <w:t>Eugenia Selivanov   Irina Ciobanu   Aliona Lașcu</w:t>
                    </w:r>
                  </w:p>
                </w:tc>
              </w:sdtContent>
            </w:sdt>
          </w:tr>
          <w:tr>
            <w:tblPrEx>
              <w:tblBorders>
                <w:top w:val="none" w:color="auto" w:sz="0" w:space="0"/>
                <w:left w:val="single" w:color="4F81BD" w:themeColor="accent1" w:sz="18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7672" w:type="dxa"/>
              </w:tcPr>
              <w:sdt>
                <w:sdtPr>
                  <w:rPr>
                    <w:rFonts w:asciiTheme="majorHAnsi" w:hAnsiTheme="majorHAnsi" w:eastAsiaTheme="majorEastAsia" w:cstheme="majorBidi"/>
                    <w:color w:val="4F81BD" w:themeColor="accent1"/>
                    <w:sz w:val="80"/>
                    <w:szCs w:val="80"/>
                    <w14:textFill>
                      <w14:solidFill>
                        <w14:schemeClr w14:val="accent1"/>
                      </w14:solidFill>
                    </w14:textFill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>
                  <w:rPr>
                    <w:rFonts w:asciiTheme="majorHAnsi" w:hAnsiTheme="majorHAnsi" w:eastAsiaTheme="majorEastAsia" w:cstheme="majorBidi"/>
                    <w:color w:val="4F81BD" w:themeColor="accent1"/>
                    <w:sz w:val="80"/>
                    <w:szCs w:val="80"/>
                    <w14:textFill>
                      <w14:solidFill>
                        <w14:schemeClr w14:val="accent1"/>
                      </w14:solidFill>
                    </w14:textFill>
                  </w:rPr>
                </w:sdtEndPr>
                <w:sdtContent>
                  <w:p>
                    <w:pPr>
                      <w:pStyle w:val="11"/>
                      <w:rPr>
                        <w:rFonts w:asciiTheme="majorHAnsi" w:hAnsiTheme="majorHAnsi" w:eastAsiaTheme="majorEastAsia" w:cstheme="majorBidi"/>
                        <w:color w:val="4F81BD" w:themeColor="accent1"/>
                        <w:sz w:val="80"/>
                        <w:szCs w:val="80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</w:pPr>
                    <w:r>
                      <w:rPr>
                        <w:rFonts w:asciiTheme="majorHAnsi" w:hAnsiTheme="majorHAnsi" w:eastAsiaTheme="majorEastAsia" w:cstheme="majorBidi"/>
                        <w:color w:val="4F81BD" w:themeColor="accent1"/>
                        <w:sz w:val="80"/>
                        <w:szCs w:val="80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Улыбаемся и пашем</w:t>
                    </w:r>
                  </w:p>
                </w:sdtContent>
              </w:sdt>
            </w:tc>
          </w:tr>
          <w:tr>
            <w:tblPrEx>
              <w:tblBorders>
                <w:top w:val="none" w:color="auto" w:sz="0" w:space="0"/>
                <w:left w:val="single" w:color="4F81BD" w:themeColor="accent1" w:sz="18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</w:tblPrEx>
            <w:sdt>
              <w:sdtPr>
                <w:rPr>
                  <w:rFonts w:asciiTheme="majorHAnsi" w:hAnsiTheme="majorHAnsi" w:eastAsiaTheme="majorEastAsia" w:cstheme="majorBidi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Fonts w:asciiTheme="majorHAnsi" w:hAnsiTheme="majorHAnsi" w:eastAsiaTheme="majorEastAsia" w:cstheme="majorBidi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>
                    <w:pPr>
                      <w:pStyle w:val="11"/>
                      <w:rPr>
                        <w:rFonts w:asciiTheme="majorHAnsi" w:hAnsiTheme="majorHAnsi" w:eastAsiaTheme="majorEastAsia" w:cstheme="majorBidi"/>
                      </w:rPr>
                    </w:pPr>
                    <w:r>
                      <w:rPr>
                        <w:rFonts w:asciiTheme="majorHAnsi" w:hAnsiTheme="majorHAnsi" w:eastAsiaTheme="majorEastAsia" w:cstheme="majorBidi"/>
                      </w:rPr>
                      <w:t>Решаем варианты по математике, №12.  Сборник задач по математике.</w:t>
                    </w:r>
                  </w:p>
                </w:tc>
              </w:sdtContent>
            </w:sdt>
          </w:tr>
        </w:tbl>
        <w:p/>
        <w:p/>
        <w:tbl>
          <w:tblPr>
            <w:tblStyle w:val="3"/>
            <w:tblpPr w:leftFromText="187" w:rightFromText="187" w:horzAnchor="margin" w:tblpXSpec="center" w:tblpYSpec="bottom"/>
            <w:tblW w:w="4000" w:type="pct"/>
            <w:tblInd w:w="0" w:type="dxa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7668"/>
          </w:tblGrid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>
                <w:pPr>
                  <w:pStyle w:val="11"/>
                  <w:jc w:val="center"/>
                  <w:rPr>
                    <w:rFonts w:ascii="Bookman Old Style" w:hAnsi="Bookman Old Style"/>
                    <w:b/>
                    <w:color w:val="4F81BD" w:themeColor="accent1"/>
                    <w:sz w:val="28"/>
                    <w14:textFill>
                      <w14:solidFill>
                        <w14:schemeClr w14:val="accent1"/>
                      </w14:solidFill>
                    </w14:textFill>
                  </w:rPr>
                </w:pPr>
                <w:r>
                  <w:rPr>
                    <w:rFonts w:ascii="Bookman Old Style" w:hAnsi="Bookman Old Style"/>
                    <w:b/>
                    <w:color w:val="4F81BD" w:themeColor="accent1"/>
                    <w:sz w:val="28"/>
                    <w14:textFill>
                      <w14:solidFill>
                        <w14:schemeClr w14:val="accent1"/>
                      </w14:solidFill>
                    </w14:textFill>
                  </w:rPr>
                  <w:t>Кишинев 2024</w:t>
                </w:r>
              </w:p>
            </w:tc>
          </w:tr>
        </w:tbl>
        <w:p/>
        <w:p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tbl>
      <w:tblPr>
        <w:tblStyle w:val="7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4"/>
        <w:gridCol w:w="444"/>
        <w:gridCol w:w="48"/>
        <w:gridCol w:w="12"/>
        <w:gridCol w:w="12"/>
        <w:gridCol w:w="88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56" w:type="dxa"/>
          </w:tcPr>
          <w:p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Итем</w:t>
            </w:r>
          </w:p>
        </w:tc>
        <w:tc>
          <w:tcPr>
            <w:tcW w:w="1029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199" w:type="dxa"/>
            <w:gridSpan w:val="8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значение выражения: 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eg>
                                <m:e>
                                  <m:r>
                                    <m:rPr/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e>
                              </m:rad>
                              <m:r>
                                <m:rPr/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−1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e>
                          </m:d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up>
                      </m:sSup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e>
                      </m:rad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rad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60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Определить остаток от деления многочлена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P(X) = 5</m:t>
              </m:r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−</m:t>
              </m:r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−12X+10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на бином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X+2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60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Пусть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val="en-US"/>
                </w:rPr>
                <m:t>D</m:t>
              </m:r>
              <m:d>
                <m:d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x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e>
              </m:d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ascii="Cambria Math" w:hAnsi="Cambria Math" w:cs="Times New Roman" w:eastAsiaTheme="minorEastAsia"/>
                                <w:sz w:val="24"/>
                                <w:szCs w:val="24"/>
                              </w:rPr>
                              <m:t>3</m:t>
                            </m: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ascii="Cambria Math" w:hAnsi="Cambria Math" w:cs="Times New Roman" w:eastAsiaTheme="minorEastAsia"/>
                                <w:sz w:val="24"/>
                                <w:szCs w:val="24"/>
                              </w:rPr>
                              <m:t>3x−1</m:t>
                            </m: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27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ascii="Cambria Math" w:hAnsi="Cambria Math" w:cs="Times New Roman" w:eastAsiaTheme="minorEastAsia"/>
                                <w:sz w:val="24"/>
                                <w:szCs w:val="24"/>
                              </w:rPr>
                              <m:t>9</m:t>
                            </m: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ascii="Cambria Math" w:hAnsi="Cambria Math" w:cs="Times New Roman" w:eastAsiaTheme="minorEastAsia"/>
                                <w:sz w:val="24"/>
                                <w:szCs w:val="24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</m:d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 Решите на множестве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 R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равенство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 D</m:t>
              </m:r>
              <m:d>
                <m:d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=0 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60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Определите комплексное число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z= a + bi, a,b∈ R, </m:t>
              </m:r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i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=−1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, для которого </w:t>
            </w:r>
            <m:oMath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2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  <w:lang w:val="en-US"/>
                        </w:rPr>
                        <m:t>z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acc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z</m:t>
                  </m:r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+5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den>
              </m:f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=3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, где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acc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z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— сопряженное число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z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60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Определите действительные числа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x 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π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;π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</m:d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, которые проверяют уравнение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cos(2x)=cosx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60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9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3920490</wp:posOffset>
                      </wp:positionH>
                      <wp:positionV relativeFrom="paragraph">
                        <wp:posOffset>338455</wp:posOffset>
                      </wp:positionV>
                      <wp:extent cx="2097405" cy="2133600"/>
                      <wp:effectExtent l="0" t="0" r="17145" b="1905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7405" cy="2133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898650" cy="1969135"/>
                                        <wp:effectExtent l="0" t="0" r="6350" b="0"/>
                                        <wp:docPr id="8" name="Рисунок 8" descr="C:\Users\admin\Desktop\photo_2024-03-10_14-00-5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Рисунок 8" descr="C:\Users\admin\Desktop\photo_2024-03-10_14-00-59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99067" cy="19696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>
                                  <w:pPr>
                                    <w:spacing w:before="100" w:beforeAutospacing="1" w:after="100" w:afterAutospacing="1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3" o:spid="_x0000_s1026" o:spt="202" type="#_x0000_t202" style="position:absolute;left:0pt;margin-left:308.7pt;margin-top:26.65pt;height:168pt;width:165.15pt;z-index:251660288;mso-width-relative:page;mso-height-relative:page;" fillcolor="#FFFFFF [3201]" filled="t" stroked="t" coordsize="21600,21600" o:gfxdata="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1UNx/Z&#10;AAAACgEAAA8AAAAAAAAAAQAgAAAAIgAAAGRycy9kb3ducmV2LnhtbFBLAQIUABQAAAAIAIdO4kBq&#10;srMiWAIAAMYEAAAOAAAAAAAAAAEAIAAAACgBAABkcnMvZTJvRG9jLnhtbFBLBQYAAAAABgAGAFkB&#10;AADy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898650" cy="1969135"/>
                                  <wp:effectExtent l="0" t="0" r="6350" b="0"/>
                                  <wp:docPr id="8" name="Рисунок 8" descr="C:\Users\admin\Desktop\photo_2024-03-10_14-00-5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Рисунок 8" descr="C:\Users\admin\Desktop\photo_2024-03-10_14-00-5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9067" cy="1969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>
                            <w:pPr>
                              <w:spacing w:before="100" w:beforeAutospacing="1" w:after="100" w:afterAutospacing="1" w:line="240" w:lineRule="auto"/>
                              <w:jc w:val="righ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площадь куба на соседнем рисунке равна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 xml:space="preserve">972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см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.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Вычислите длину диагонали этого куба.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Пусть окружность — это </w:t>
            </w:r>
            <m:oMath>
              <m:r>
                <m:rPr/>
                <w:rPr>
                  <w:rFonts w:ascii="Cambria Math" w:hAnsi="Cambria Math" w:cs="Times New Roman"/>
                </w:rPr>
                <m:t>C(O,R)</m:t>
              </m:r>
            </m:oMath>
            <w:r>
              <w:rPr>
                <w:rFonts w:ascii="Times New Roman" w:hAnsi="Times New Roman" w:cs="Times New Roman"/>
              </w:rPr>
              <w:t xml:space="preserve"> и точки </w:t>
            </w:r>
            <m:oMath>
              <m:r>
                <m:rPr/>
                <w:rPr>
                  <w:rFonts w:ascii="Cambria Math" w:hAnsi="Cambria Math" w:cs="Times New Roman"/>
                </w:rPr>
                <m:t>A,B,C ∈C(O,R)</m:t>
              </m:r>
            </m:oMath>
            <w:r>
              <w:rPr>
                <w:rFonts w:ascii="Times New Roman" w:hAnsi="Times New Roman" w:cs="Times New Roman"/>
              </w:rPr>
              <w:t xml:space="preserve">, так, что </w:t>
            </w:r>
            <m:oMath>
              <m:r>
                <m:rPr/>
                <w:rPr>
                  <w:rFonts w:ascii="Cambria Math" w:hAnsi="Cambria Math" w:cs="Times New Roman"/>
                </w:rPr>
                <m:t>AC</m:t>
              </m:r>
            </m:oMath>
            <w:r>
              <w:rPr>
                <w:rFonts w:ascii="Times New Roman" w:hAnsi="Times New Roman" w:cs="Times New Roman"/>
              </w:rPr>
              <w:t xml:space="preserve"> — диаметр окружности.       В треугольнике </w:t>
            </w:r>
            <m:oMath>
              <m:r>
                <m:rPr/>
                <w:rPr>
                  <w:rFonts w:ascii="Cambria Math" w:hAnsi="Cambria Math" w:cs="Times New Roman"/>
                </w:rPr>
                <m:t>ABC,</m:t>
              </m:r>
            </m:oMath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/>
                <w:rPr>
                  <w:rFonts w:ascii="Cambria Math" w:hAnsi="Cambria Math" w:cs="Times New Roman"/>
                </w:rPr>
                <m:t xml:space="preserve">BD </m:t>
              </m:r>
              <m:r>
                <m:rPr/>
                <w:rPr>
                  <w:rFonts w:ascii="Cambria Math" w:hAnsi="Cambria Math" w:cs="Cambria Math"/>
                </w:rPr>
                <m:t>⊥</m:t>
              </m:r>
              <m:r>
                <m:rPr/>
                <w:rPr>
                  <w:rFonts w:ascii="Cambria Math" w:hAnsi="Cambria Math" w:cs="Times New Roman"/>
                </w:rPr>
                <m:t xml:space="preserve"> AC, D∈ [AC], BD = 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</w:rPr>
                  </m:ctrlPr>
                </m:deg>
                <m:e>
                  <m:r>
                    <m:rPr/>
                    <w:rPr>
                      <w:rFonts w:ascii="Cambria Math" w:hAnsi="Cambria Math" w:cs="Times New Roman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</w:rPr>
                  </m:ctrlPr>
                </m:e>
              </m:rad>
              <m:r>
                <m:rPr/>
                <w:rPr>
                  <w:rFonts w:ascii="Cambria Math" w:hAnsi="Cambria Math" w:cs="Times New Roman"/>
                </w:rPr>
                <m:t xml:space="preserve"> см</m:t>
              </m:r>
            </m:oMath>
            <w:r>
              <w:rPr>
                <w:rFonts w:ascii="Times New Roman" w:hAnsi="Times New Roman" w:cs="Times New Roman"/>
              </w:rPr>
              <w:t xml:space="preserve"> и </w:t>
            </w:r>
            <m:oMath>
              <m:r>
                <m:rPr/>
                <w:rPr>
                  <w:rFonts w:ascii="Cambria Math" w:hAnsi="Cambria Math" w:cs="Times New Roman"/>
                </w:rPr>
                <m:t>DC = 2AD</m:t>
              </m:r>
            </m:oMath>
            <w:r>
              <w:rPr>
                <w:rFonts w:ascii="Times New Roman" w:hAnsi="Times New Roman" w:cs="Times New Roman"/>
              </w:rPr>
              <w:t>. Определите площадь диска, ограниченную кругом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3920490</wp:posOffset>
                      </wp:positionH>
                      <wp:positionV relativeFrom="paragraph">
                        <wp:posOffset>28575</wp:posOffset>
                      </wp:positionV>
                      <wp:extent cx="2057400" cy="2174875"/>
                      <wp:effectExtent l="0" t="0" r="19050" b="1651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21746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0" w:beforeAutospacing="1" w:after="100" w:afterAutospacing="1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798955" cy="1927860"/>
                                        <wp:effectExtent l="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97440" cy="19264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" o:spid="_x0000_s1026" o:spt="202" type="#_x0000_t202" style="position:absolute;left:0pt;margin-left:308.7pt;margin-top:2.25pt;height:171.25pt;width:162pt;z-index:251659264;mso-width-relative:page;mso-height-relative:page;" fillcolor="#FFFFFF [3201]" filled="t" stroked="t" coordsize="21600,21600" o:gfxdata="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V3dR+dgA&#10;AAAJAQAADwAAAAAAAAABACAAAAAiAAAAZHJzL2Rvd25yZXYueG1sUEsBAhQAFAAAAAgAh07iQFr4&#10;S3lYAgAAxgQAAA4AAAAAAAAAAQAgAAAAJwEAAGRycy9lMm9Eb2MueG1sUEsFBgAAAAAGAAYAWQEA&#10;APE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100" w:beforeAutospacing="1" w:after="100" w:afterAutospacing="1" w:line="240" w:lineRule="auto"/>
                              <w:jc w:val="righ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drawing>
                                <wp:inline distT="0" distB="0" distL="0" distR="0">
                                  <wp:extent cx="1798955" cy="19278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7440" cy="1926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Основанием пирамиды объемом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eastAsia="ru-RU"/>
                </w:rPr>
                <m:t xml:space="preserve">512 </m:t>
              </m:r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eastAsia="ru-RU"/>
                    </w:rPr>
                    <m:t>см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eastAsia="ru-RU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eastAsia="ru-RU"/>
                    </w:rPr>
                    <m:t>3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eastAsia="ru-RU"/>
                    </w:rPr>
                  </m:ctrlPr>
                </m:sup>
              </m:sSup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является ромб со стороной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eastAsia="ru-RU"/>
                </w:rPr>
                <m:t>16 см и углом 120°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. Определите величину двугранного угла при основании пирамиды, если высота пирамиды проходит через центр окружности, вписанной в основание.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109855</wp:posOffset>
                      </wp:positionV>
                      <wp:extent cx="2039620" cy="2104390"/>
                      <wp:effectExtent l="0" t="0" r="18415" b="1079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9376" cy="21042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0" w:beforeAutospacing="1" w:after="100" w:afterAutospacing="1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943100" cy="2021840"/>
                                        <wp:effectExtent l="0" t="0" r="0" b="0"/>
                                        <wp:docPr id="6" name="Рисунок 6" descr="C:\Users\admin\Desktop\photo_2024-03-02_17-48-5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Рисунок 6" descr="C:\Users\admin\Desktop\photo_2024-03-02_17-48-5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829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50758" cy="20300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</w:pP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" o:spid="_x0000_s1026" o:spt="202" type="#_x0000_t202" style="position:absolute;left:0pt;margin-left:315.15pt;margin-top:8.65pt;height:165.7pt;width:160.6pt;z-index:251661312;mso-width-relative:page;mso-height-relative:page;" fillcolor="#FFFFFF [3201]" filled="t" stroked="t" coordsize="21600,21600" o:gfxdata="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1dEMa2QAA&#10;AAoBAAAPAAAAAAAAAAEAIAAAACIAAABkcnMvZG93bnJldi54bWxQSwECFAAUAAAACACHTuJAyA5l&#10;E1YCAADGBAAADgAAAAAAAAABACAAAAAoAQAAZHJzL2Uyb0RvYy54bWxQSwUGAAAAAAYABgBZAQAA&#10;8A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100" w:beforeAutospacing="1" w:after="100" w:afterAutospacing="1" w:line="240" w:lineRule="auto"/>
                              <w:jc w:val="righ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943100" cy="2021840"/>
                                  <wp:effectExtent l="0" t="0" r="0" b="0"/>
                                  <wp:docPr id="6" name="Рисунок 6" descr="C:\Users\admin\Desktop\photo_2024-03-02_17-48-5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6" descr="C:\Users\admin\Desktop\photo_2024-03-02_17-48-5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29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0758" cy="2030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>
                            <w:pPr>
                              <w:pStyle w:val="5"/>
                            </w:pP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1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1029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Определите знаменатель геометрической прогрессии </w:t>
            </w: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4"/>
                              <w:szCs w:val="24"/>
                            </w:rPr>
                            <m:t>b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4"/>
                              <w:szCs w:val="24"/>
                            </w:rPr>
                            <m:t>n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n≥1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, если,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b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=−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en>
              </m:f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 и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 xml:space="preserve"> </m:t>
                  </m:r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b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7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64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ascii="Times New Roman" w:hAnsi="Times New Roman" w:cs="Times New Roman" w:eastAsiaTheme="minorEastAsia"/>
                <w:szCs w:val="24"/>
              </w:rPr>
              <w:t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sz w:val="28"/>
                    <w:szCs w:val="24"/>
                  </w:rPr>
                  <m:t>Дана функция f :</m:t>
                </m:r>
                <m:r>
                  <m:rPr/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R</m:t>
                </m:r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→R,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en-US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en-US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</w:rPr>
                      <m:t>+8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ra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+2x</m:t>
                </m:r>
              </m:oMath>
            </m:oMathPara>
          </w:p>
        </w:tc>
        <w:tc>
          <w:tcPr>
            <w:tcW w:w="1029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) Вычислите: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naryPr>
                <m:sub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−1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b>
                <m:sup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p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e>
                      </m:d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−2x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dx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</m:nary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горизонтальную асимптоту при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 xml:space="preserve">−∞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функции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Определите абсциссу точки на графике функции </w:t>
            </w:r>
            <m:oMath>
              <m:r>
                <m:rPr/>
                <w:rPr>
                  <w:rFonts w:ascii="Cambria Math" w:hAnsi="Cambria Math" w:cs="Times New Roman" w:eastAsiaTheme="minorEastAsia"/>
                  <w:szCs w:val="24"/>
                  <w:lang w:val="en-US"/>
                </w:rPr>
                <m:t>f</m:t>
              </m:r>
            </m:oMath>
            <w:r>
              <w:rPr>
                <w:rFonts w:ascii="Times New Roman" w:hAnsi="Times New Roman" w:cs="Times New Roman" w:eastAsiaTheme="minorEastAsia"/>
                <w:szCs w:val="24"/>
              </w:rPr>
              <w:t xml:space="preserve">, где касательная к графику функции образует угол </w:t>
            </w:r>
            <m:oMath>
              <m:r>
                <m:rPr/>
                <w:rPr>
                  <w:rFonts w:ascii="Cambria Math" w:hAnsi="Cambria Math" w:cs="Times New Roman" w:eastAsiaTheme="minorEastAsia"/>
                  <w:szCs w:val="24"/>
                </w:rPr>
                <m:t>45°</m:t>
              </m:r>
            </m:oMath>
            <w:r>
              <w:rPr>
                <w:rFonts w:ascii="Times New Roman" w:hAnsi="Times New Roman" w:cs="Times New Roman" w:eastAsiaTheme="minorEastAsia"/>
                <w:szCs w:val="24"/>
              </w:rPr>
              <w:t xml:space="preserve"> с положительным направлением оси </w:t>
            </w: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Cs w:val="24"/>
                    </w:rPr>
                    <m:t>О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Cs w:val="24"/>
                    </w:rPr>
                  </m:ctrlPr>
                </m:sub>
              </m:sSub>
            </m:oMath>
            <w:r>
              <w:rPr>
                <w:rFonts w:ascii="Times New Roman" w:hAnsi="Times New Roman" w:cs="Times New Roman" w:eastAsiaTheme="minorEastAsia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99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Во время телевикторины участникам предлагается случайным образом выбрать вопросы из трех областей: Искусство, История, Наука. Вероятность того, что участник выберет вопрос из области Искусства, равна 0,3, из Истории – 0,2 и из Науки – 0,5. Какова вероятность того, что за три тура участник выберет вопросы только из двух областей?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Определите количество иррациональных членов биномиального разложения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4"/>
                              <w:szCs w:val="24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e>
                      </m:rad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+</m:t>
                      </m:r>
                      <m:rad>
                        <m:rad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4"/>
                              <w:szCs w:val="24"/>
                            </w:rPr>
                            <m:t>5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4"/>
                              <w:szCs w:val="24"/>
                            </w:rPr>
                            <m:t>7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e>
                      </m:rad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100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p>
              </m:sSup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/>
    <w:p/>
    <w:sectPr>
      <w:pgSz w:w="11906" w:h="16838"/>
      <w:pgMar w:top="568" w:right="850" w:bottom="993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F2"/>
    <w:rsid w:val="00022720"/>
    <w:rsid w:val="00060803"/>
    <w:rsid w:val="000761CF"/>
    <w:rsid w:val="0012392D"/>
    <w:rsid w:val="00167A5B"/>
    <w:rsid w:val="001C09EC"/>
    <w:rsid w:val="001D18E4"/>
    <w:rsid w:val="00207BD4"/>
    <w:rsid w:val="00241E05"/>
    <w:rsid w:val="00291617"/>
    <w:rsid w:val="002B70D6"/>
    <w:rsid w:val="00345358"/>
    <w:rsid w:val="00383F82"/>
    <w:rsid w:val="003B6D68"/>
    <w:rsid w:val="003C49F4"/>
    <w:rsid w:val="003E6843"/>
    <w:rsid w:val="004270C7"/>
    <w:rsid w:val="0044411E"/>
    <w:rsid w:val="004A123F"/>
    <w:rsid w:val="004A595B"/>
    <w:rsid w:val="004C2EA3"/>
    <w:rsid w:val="005078B3"/>
    <w:rsid w:val="00514B78"/>
    <w:rsid w:val="0053189F"/>
    <w:rsid w:val="00550F61"/>
    <w:rsid w:val="0057045C"/>
    <w:rsid w:val="00576550"/>
    <w:rsid w:val="0059149B"/>
    <w:rsid w:val="005A19B5"/>
    <w:rsid w:val="005D7ABE"/>
    <w:rsid w:val="005F1198"/>
    <w:rsid w:val="00600665"/>
    <w:rsid w:val="0069378D"/>
    <w:rsid w:val="006C5570"/>
    <w:rsid w:val="006E7D7C"/>
    <w:rsid w:val="00735F04"/>
    <w:rsid w:val="00740B76"/>
    <w:rsid w:val="00747787"/>
    <w:rsid w:val="007A6093"/>
    <w:rsid w:val="007B76F9"/>
    <w:rsid w:val="007E0F11"/>
    <w:rsid w:val="007F25E5"/>
    <w:rsid w:val="00822773"/>
    <w:rsid w:val="0086107E"/>
    <w:rsid w:val="00891A4A"/>
    <w:rsid w:val="00891AD6"/>
    <w:rsid w:val="008A1281"/>
    <w:rsid w:val="008B56B4"/>
    <w:rsid w:val="008D2010"/>
    <w:rsid w:val="00915A3C"/>
    <w:rsid w:val="0095012D"/>
    <w:rsid w:val="009722E5"/>
    <w:rsid w:val="009D1937"/>
    <w:rsid w:val="009E0228"/>
    <w:rsid w:val="009E52A5"/>
    <w:rsid w:val="00A314EE"/>
    <w:rsid w:val="00A546A5"/>
    <w:rsid w:val="00A9422D"/>
    <w:rsid w:val="00AC251D"/>
    <w:rsid w:val="00BD6CBF"/>
    <w:rsid w:val="00BF2311"/>
    <w:rsid w:val="00C074F2"/>
    <w:rsid w:val="00C21907"/>
    <w:rsid w:val="00C5627F"/>
    <w:rsid w:val="00C64E3A"/>
    <w:rsid w:val="00CA0266"/>
    <w:rsid w:val="00CD583C"/>
    <w:rsid w:val="00CE18A2"/>
    <w:rsid w:val="00D0141F"/>
    <w:rsid w:val="00D1078C"/>
    <w:rsid w:val="00D41456"/>
    <w:rsid w:val="00DB1C3B"/>
    <w:rsid w:val="00DD4737"/>
    <w:rsid w:val="00E15B1C"/>
    <w:rsid w:val="00E21056"/>
    <w:rsid w:val="00E85D9A"/>
    <w:rsid w:val="00F16CC9"/>
    <w:rsid w:val="00F20DB3"/>
    <w:rsid w:val="00F304D5"/>
    <w:rsid w:val="00F45A64"/>
    <w:rsid w:val="00F55BF6"/>
    <w:rsid w:val="00FF25F4"/>
    <w:rsid w:val="620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Название Знак"/>
    <w:basedOn w:val="2"/>
    <w:link w:val="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9">
    <w:name w:val="Подзаголовок Знак"/>
    <w:basedOn w:val="2"/>
    <w:link w:val="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styleId="10">
    <w:name w:val="Placeholder Text"/>
    <w:basedOn w:val="2"/>
    <w:semiHidden/>
    <w:qFormat/>
    <w:uiPriority w:val="99"/>
    <w:rPr>
      <w:color w:val="808080"/>
    </w:r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qFormat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bm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E2493C-5C3D-487A-9A1C-97413C00A7BF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Eugenia Selivanov   Irina Ciobanu   Aliona Lașcu</Company>
  <Pages>6</Pages>
  <Words>618</Words>
  <Characters>3525</Characters>
  <Lines>29</Lines>
  <Paragraphs>8</Paragraphs>
  <TotalTime>1471</TotalTime>
  <ScaleCrop>false</ScaleCrop>
  <LinksUpToDate>false</LinksUpToDate>
  <CharactersWithSpaces>4135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2024-02-08T07:36:00Z</dcterms:created>
  <dc:creator>admn</dc:creator>
  <cp:lastModifiedBy>Людмила Мороз</cp:lastModifiedBy>
  <cp:lastPrinted>2024-03-02T15:56:00Z</cp:lastPrinted>
  <dcterms:modified xsi:type="dcterms:W3CDTF">2024-03-10T21:02:26Z</dcterms:modified>
  <dc:subject>Решаем варианты по математике, №12.  Сборник задач по математике.</dc:subject>
  <dc:title>Улыбаемся и пашем
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F0C6F087E73E4B4180637423E6258583_13</vt:lpwstr>
  </property>
</Properties>
</file>